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9E5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Cs/>
          <w:kern w:val="21"/>
          <w:sz w:val="44"/>
          <w:szCs w:val="44"/>
          <w:lang w:val="en-US" w:eastAsia="zh-CN"/>
        </w:rPr>
      </w:pPr>
      <w:r>
        <w:rPr>
          <w:rFonts w:hint="eastAsia" w:ascii="方正小标宋简体" w:hAnsi="方正小标宋简体" w:eastAsia="方正小标宋简体" w:cs="方正小标宋简体"/>
          <w:bCs/>
          <w:spacing w:val="-6"/>
          <w:kern w:val="21"/>
          <w:sz w:val="44"/>
          <w:szCs w:val="44"/>
          <w:lang w:val="en-US" w:eastAsia="zh-CN"/>
        </w:rPr>
        <w:t>泉州师范学院实验室安全分级分类管理办法</w:t>
      </w:r>
      <w:r>
        <w:rPr>
          <w:rFonts w:hint="eastAsia" w:ascii="方正小标宋简体" w:hAnsi="方正小标宋简体" w:eastAsia="方正小标宋简体" w:cs="方正小标宋简体"/>
          <w:bCs/>
          <w:kern w:val="21"/>
          <w:sz w:val="44"/>
          <w:szCs w:val="44"/>
          <w:lang w:val="en-US" w:eastAsia="zh-CN"/>
        </w:rPr>
        <w:t>（修订）</w:t>
      </w:r>
    </w:p>
    <w:p w14:paraId="496E8924">
      <w:pPr>
        <w:pStyle w:val="12"/>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rFonts w:hint="eastAsia"/>
          <w:lang w:val="en-US" w:eastAsia="zh-CN"/>
        </w:rPr>
      </w:pPr>
    </w:p>
    <w:p w14:paraId="32EC3D86">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540" w:lineRule="exact"/>
        <w:jc w:val="center"/>
        <w:textAlignment w:val="auto"/>
        <w:outlineLvl w:val="1"/>
        <w:rPr>
          <w:rFonts w:hint="eastAsia" w:ascii="黑体" w:hAnsi="黑体" w:eastAsia="黑体" w:cs="黑体"/>
          <w:b w:val="0"/>
          <w:bCs w:val="0"/>
          <w:caps w:val="0"/>
          <w:color w:val="000000"/>
          <w:spacing w:val="0"/>
          <w:sz w:val="32"/>
          <w:szCs w:val="32"/>
          <w:u w:val="none"/>
          <w:lang w:val="en-US" w:eastAsia="zh-CN"/>
        </w:rPr>
      </w:pPr>
      <w:r>
        <w:rPr>
          <w:rFonts w:hint="eastAsia" w:ascii="黑体" w:hAnsi="黑体" w:eastAsia="黑体" w:cs="黑体"/>
          <w:b w:val="0"/>
          <w:bCs w:val="0"/>
          <w:caps w:val="0"/>
          <w:color w:val="000000"/>
          <w:spacing w:val="0"/>
          <w:sz w:val="32"/>
          <w:szCs w:val="32"/>
          <w:u w:val="none"/>
          <w:lang w:val="en-US" w:eastAsia="zh-CN"/>
        </w:rPr>
        <w:t xml:space="preserve"> 总  则 </w:t>
      </w:r>
    </w:p>
    <w:p w14:paraId="62398598">
      <w:pPr>
        <w:numPr>
          <w:ilvl w:val="0"/>
          <w:numId w:val="0"/>
        </w:numPr>
        <w:rPr>
          <w:rFonts w:hint="default"/>
          <w:sz w:val="32"/>
          <w:szCs w:val="32"/>
          <w:lang w:val="en-US" w:eastAsia="zh-CN"/>
        </w:rPr>
      </w:pPr>
    </w:p>
    <w:p w14:paraId="58832BE5">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40" w:lineRule="exact"/>
        <w:ind w:firstLine="640" w:firstLineChars="200"/>
        <w:jc w:val="both"/>
        <w:textAlignment w:val="auto"/>
        <w:outlineLvl w:val="1"/>
        <w:rPr>
          <w:rFonts w:hint="eastAsia" w:ascii="仿宋_GB2312" w:hAnsi="仿宋_GB2312" w:eastAsia="仿宋_GB2312" w:cs="仿宋_GB2312"/>
          <w:b w:val="0"/>
          <w:bCs w:val="0"/>
          <w:caps w:val="0"/>
          <w:color w:val="1F1F1F"/>
          <w:spacing w:val="0"/>
          <w:sz w:val="32"/>
          <w:szCs w:val="32"/>
          <w:u w:val="none"/>
          <w:lang w:val="en-US" w:eastAsia="zh-CN"/>
        </w:rPr>
      </w:pPr>
      <w:r>
        <w:rPr>
          <w:rStyle w:val="16"/>
          <w:rFonts w:hint="eastAsia" w:ascii="黑体" w:hAnsi="黑体" w:eastAsia="黑体" w:cs="黑体"/>
          <w:b w:val="0"/>
          <w:bCs w:val="0"/>
          <w:caps w:val="0"/>
          <w:color w:val="1F1F1F"/>
          <w:spacing w:val="0"/>
          <w:sz w:val="32"/>
          <w:szCs w:val="32"/>
          <w:u w:val="none"/>
        </w:rPr>
        <w:t>第一条</w:t>
      </w:r>
      <w:r>
        <w:rPr>
          <w:rStyle w:val="16"/>
          <w:rFonts w:hint="eastAsia" w:ascii="仿宋" w:hAnsi="仿宋" w:eastAsia="仿宋" w:cs="仿宋"/>
          <w:b/>
          <w:caps w:val="0"/>
          <w:color w:val="1F1F1F"/>
          <w:spacing w:val="0"/>
          <w:sz w:val="32"/>
          <w:szCs w:val="32"/>
          <w:u w:val="none"/>
        </w:rPr>
        <w:t xml:space="preserve"> </w:t>
      </w:r>
      <w:r>
        <w:rPr>
          <w:rStyle w:val="16"/>
          <w:rFonts w:hint="eastAsia" w:ascii="仿宋" w:hAnsi="仿宋" w:eastAsia="仿宋" w:cs="仿宋"/>
          <w:b/>
          <w:caps w:val="0"/>
          <w:color w:val="1F1F1F"/>
          <w:spacing w:val="0"/>
          <w:sz w:val="32"/>
          <w:szCs w:val="32"/>
          <w:u w:val="none"/>
          <w:lang w:val="en-US" w:eastAsia="zh-CN"/>
        </w:rPr>
        <w:t xml:space="preserve"> </w:t>
      </w:r>
      <w:r>
        <w:rPr>
          <w:rFonts w:hint="eastAsia" w:ascii="仿宋_GB2312" w:hAnsi="仿宋_GB2312" w:eastAsia="仿宋_GB2312" w:cs="仿宋_GB2312"/>
          <w:b w:val="0"/>
          <w:bCs w:val="0"/>
          <w:caps w:val="0"/>
          <w:color w:val="1F1F1F"/>
          <w:spacing w:val="0"/>
          <w:kern w:val="0"/>
          <w:sz w:val="32"/>
          <w:szCs w:val="32"/>
          <w:u w:val="none"/>
          <w:lang w:val="en-US" w:eastAsia="zh-CN" w:bidi="ar"/>
        </w:rPr>
        <w:t>为加强学校实验室安全精细化管理，提高实验室安全风险防范的针对性和有效性，提升实验室安全管理的科学性和专业性，根据《高等学校实验室安全规范》《</w:t>
      </w:r>
      <w:bookmarkStart w:id="0" w:name="_Toc89680292"/>
      <w:bookmarkStart w:id="1" w:name="_Toc90016591"/>
      <w:bookmarkStart w:id="2" w:name="高校实验室安全隐患定量分级标准"/>
      <w:r>
        <w:rPr>
          <w:rFonts w:hint="eastAsia" w:ascii="仿宋_GB2312" w:hAnsi="仿宋_GB2312" w:eastAsia="仿宋_GB2312" w:cs="仿宋_GB2312"/>
          <w:b w:val="0"/>
          <w:bCs w:val="0"/>
          <w:caps w:val="0"/>
          <w:color w:val="1F1F1F"/>
          <w:spacing w:val="0"/>
          <w:kern w:val="0"/>
          <w:sz w:val="32"/>
          <w:szCs w:val="32"/>
          <w:u w:val="none"/>
          <w:lang w:val="en-US" w:eastAsia="zh-CN" w:bidi="ar"/>
        </w:rPr>
        <w:t>高等学校实验室安全</w:t>
      </w:r>
      <w:bookmarkEnd w:id="0"/>
      <w:bookmarkEnd w:id="1"/>
      <w:bookmarkEnd w:id="2"/>
      <w:r>
        <w:rPr>
          <w:rFonts w:hint="eastAsia" w:ascii="仿宋_GB2312" w:hAnsi="仿宋_GB2312" w:eastAsia="仿宋_GB2312" w:cs="仿宋_GB2312"/>
          <w:b w:val="0"/>
          <w:bCs w:val="0"/>
          <w:caps w:val="0"/>
          <w:color w:val="1F1F1F"/>
          <w:spacing w:val="0"/>
          <w:kern w:val="0"/>
          <w:sz w:val="32"/>
          <w:szCs w:val="32"/>
          <w:u w:val="none"/>
          <w:lang w:val="en-US" w:eastAsia="zh-CN" w:bidi="ar"/>
        </w:rPr>
        <w:t>分级分类管理办法（试行）》等法律法规</w:t>
      </w:r>
      <w:r>
        <w:rPr>
          <w:rFonts w:hint="eastAsia" w:ascii="仿宋_GB2312" w:hAnsi="仿宋_GB2312" w:eastAsia="仿宋_GB2312" w:cs="仿宋_GB2312"/>
          <w:b w:val="0"/>
          <w:bCs w:val="0"/>
          <w:caps w:val="0"/>
          <w:color w:val="1F1F1F"/>
          <w:spacing w:val="0"/>
          <w:sz w:val="32"/>
          <w:szCs w:val="32"/>
          <w:u w:val="none"/>
        </w:rPr>
        <w:t>，</w:t>
      </w:r>
      <w:r>
        <w:rPr>
          <w:rFonts w:hint="eastAsia" w:ascii="仿宋_GB2312" w:hAnsi="仿宋_GB2312" w:eastAsia="仿宋_GB2312" w:cs="仿宋_GB2312"/>
          <w:b w:val="0"/>
          <w:bCs w:val="0"/>
          <w:caps w:val="0"/>
          <w:color w:val="1F1F1F"/>
          <w:spacing w:val="0"/>
          <w:sz w:val="32"/>
          <w:szCs w:val="32"/>
          <w:u w:val="none"/>
          <w:lang w:val="en-US" w:eastAsia="zh-CN"/>
        </w:rPr>
        <w:t>结合学校实际，特制定本办法。</w:t>
      </w:r>
    </w:p>
    <w:p w14:paraId="6C4053BC">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00"/>
        <w:jc w:val="both"/>
        <w:textAlignment w:val="auto"/>
        <w:rPr>
          <w:rFonts w:hint="eastAsia" w:ascii="仿宋_GB2312" w:hAnsi="仿宋_GB2312" w:eastAsia="仿宋_GB2312" w:cs="仿宋_GB2312"/>
          <w:b w:val="0"/>
          <w:bCs w:val="0"/>
          <w:caps w:val="0"/>
          <w:color w:val="1F1F1F"/>
          <w:spacing w:val="0"/>
          <w:kern w:val="0"/>
          <w:sz w:val="32"/>
          <w:szCs w:val="32"/>
          <w:u w:val="none"/>
          <w:lang w:val="en-US" w:eastAsia="zh-CN" w:bidi="ar"/>
        </w:rPr>
      </w:pPr>
      <w:r>
        <w:rPr>
          <w:rStyle w:val="16"/>
          <w:rFonts w:hint="eastAsia" w:ascii="黑体" w:hAnsi="黑体" w:eastAsia="黑体" w:cs="黑体"/>
          <w:b w:val="0"/>
          <w:bCs w:val="0"/>
          <w:caps w:val="0"/>
          <w:color w:val="1F1F1F"/>
          <w:spacing w:val="0"/>
          <w:kern w:val="0"/>
          <w:sz w:val="32"/>
          <w:szCs w:val="32"/>
          <w:u w:val="none"/>
          <w:lang w:val="en-US" w:eastAsia="zh-CN" w:bidi="ar"/>
        </w:rPr>
        <w:t>第二条</w:t>
      </w:r>
      <w:r>
        <w:rPr>
          <w:rStyle w:val="16"/>
          <w:rFonts w:hint="eastAsia" w:ascii="仿宋" w:hAnsi="仿宋" w:eastAsia="仿宋" w:cs="仿宋"/>
          <w:caps w:val="0"/>
          <w:color w:val="1F1F1F"/>
          <w:spacing w:val="0"/>
          <w:sz w:val="32"/>
          <w:szCs w:val="32"/>
          <w:u w:val="none"/>
        </w:rPr>
        <w:t xml:space="preserve"> </w:t>
      </w:r>
      <w:r>
        <w:rPr>
          <w:rStyle w:val="16"/>
          <w:rFonts w:hint="eastAsia" w:ascii="仿宋" w:hAnsi="仿宋" w:eastAsia="仿宋" w:cs="仿宋"/>
          <w:caps w:val="0"/>
          <w:color w:val="1F1F1F"/>
          <w:spacing w:val="0"/>
          <w:sz w:val="32"/>
          <w:szCs w:val="32"/>
          <w:u w:val="none"/>
          <w:lang w:val="en-US" w:eastAsia="zh-CN"/>
        </w:rPr>
        <w:t xml:space="preserve"> </w:t>
      </w:r>
      <w:r>
        <w:rPr>
          <w:rFonts w:hint="eastAsia" w:ascii="仿宋_GB2312" w:hAnsi="仿宋_GB2312" w:eastAsia="仿宋_GB2312" w:cs="仿宋_GB2312"/>
          <w:b w:val="0"/>
          <w:bCs w:val="0"/>
          <w:caps w:val="0"/>
          <w:color w:val="1F1F1F"/>
          <w:spacing w:val="0"/>
          <w:kern w:val="0"/>
          <w:sz w:val="32"/>
          <w:szCs w:val="32"/>
          <w:u w:val="none"/>
          <w:lang w:val="en-US" w:eastAsia="zh-CN" w:bidi="ar"/>
        </w:rPr>
        <w:t>本办法适用于学校管辖范围内开展教学、科研等活动的所有校内实验、实训场所及其所属设施，包括各类实验室、实验准备室、试剂室、药品库、材料仓库和其他附属用房等（以下统称“实验室”），以房间为管理单元。中试性质和工业化放大性质的试验场所及其所属设施不在本办法管理范围内，各二级单位如涉及相关场所应根据相关法律法规及标准规范制定相关管理办法并报学校备案。</w:t>
      </w:r>
    </w:p>
    <w:p w14:paraId="7B7BC2FB">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 w:hAnsi="仿宋" w:eastAsia="仿宋" w:cs="仿宋"/>
          <w:caps w:val="0"/>
          <w:color w:val="1F1F1F"/>
          <w:spacing w:val="0"/>
          <w:sz w:val="32"/>
          <w:szCs w:val="32"/>
          <w:u w:val="none"/>
        </w:rPr>
      </w:pPr>
      <w:r>
        <w:rPr>
          <w:rStyle w:val="16"/>
          <w:rFonts w:hint="eastAsia" w:ascii="黑体" w:hAnsi="黑体" w:eastAsia="黑体" w:cs="黑体"/>
          <w:b w:val="0"/>
          <w:bCs/>
          <w:caps w:val="0"/>
          <w:color w:val="1F1F1F"/>
          <w:spacing w:val="0"/>
          <w:sz w:val="32"/>
          <w:szCs w:val="32"/>
          <w:u w:val="none"/>
        </w:rPr>
        <w:t>第三条</w:t>
      </w:r>
      <w:r>
        <w:rPr>
          <w:rStyle w:val="16"/>
          <w:rFonts w:hint="eastAsia" w:ascii="仿宋" w:hAnsi="仿宋" w:eastAsia="仿宋" w:cs="仿宋"/>
          <w:caps w:val="0"/>
          <w:color w:val="1F1F1F"/>
          <w:spacing w:val="0"/>
          <w:sz w:val="32"/>
          <w:szCs w:val="32"/>
          <w:u w:val="none"/>
        </w:rPr>
        <w:t xml:space="preserve"> </w:t>
      </w:r>
      <w:r>
        <w:rPr>
          <w:rStyle w:val="16"/>
          <w:rFonts w:hint="eastAsia" w:ascii="仿宋" w:hAnsi="仿宋" w:eastAsia="仿宋" w:cs="仿宋"/>
          <w:caps w:val="0"/>
          <w:color w:val="1F1F1F"/>
          <w:spacing w:val="0"/>
          <w:sz w:val="32"/>
          <w:szCs w:val="32"/>
          <w:u w:val="none"/>
          <w:lang w:val="en-US" w:eastAsia="zh-CN"/>
        </w:rPr>
        <w:t xml:space="preserve"> </w:t>
      </w:r>
      <w:r>
        <w:rPr>
          <w:rFonts w:hint="eastAsia" w:ascii="仿宋_GB2312" w:hAnsi="仿宋_GB2312" w:eastAsia="仿宋_GB2312" w:cs="仿宋_GB2312"/>
          <w:caps w:val="0"/>
          <w:color w:val="1F1F1F"/>
          <w:spacing w:val="0"/>
          <w:sz w:val="32"/>
          <w:szCs w:val="32"/>
          <w:u w:val="none"/>
        </w:rPr>
        <w:t>实验室安全分级分类</w:t>
      </w:r>
      <w:r>
        <w:rPr>
          <w:rFonts w:hint="eastAsia" w:ascii="仿宋_GB2312" w:hAnsi="仿宋_GB2312" w:eastAsia="仿宋_GB2312" w:cs="仿宋_GB2312"/>
          <w:caps w:val="0"/>
          <w:color w:val="1F1F1F"/>
          <w:spacing w:val="0"/>
          <w:sz w:val="32"/>
          <w:szCs w:val="32"/>
          <w:u w:val="none"/>
          <w:lang w:val="en-US" w:eastAsia="zh-CN"/>
        </w:rPr>
        <w:t>管理</w:t>
      </w:r>
      <w:r>
        <w:rPr>
          <w:rFonts w:hint="eastAsia" w:ascii="仿宋_GB2312" w:hAnsi="仿宋_GB2312" w:eastAsia="仿宋_GB2312" w:cs="仿宋_GB2312"/>
          <w:caps w:val="0"/>
          <w:color w:val="1F1F1F"/>
          <w:spacing w:val="0"/>
          <w:sz w:val="32"/>
          <w:szCs w:val="32"/>
          <w:u w:val="none"/>
        </w:rPr>
        <w:t>是根据实验室危险源的特性和导致（引发）危险的严重程度进行安全风险评估（评价），并由此制定专业化、针对性的安全管理和预防措施，从而进一步加强实验室安全管理的重要举措。</w:t>
      </w:r>
    </w:p>
    <w:p w14:paraId="1BAAC7F2">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40" w:lineRule="exact"/>
        <w:jc w:val="center"/>
        <w:textAlignment w:val="auto"/>
        <w:outlineLvl w:val="1"/>
        <w:rPr>
          <w:rFonts w:hint="eastAsia" w:ascii="黑体" w:hAnsi="黑体" w:eastAsia="黑体" w:cs="黑体"/>
          <w:b w:val="0"/>
          <w:bCs w:val="0"/>
          <w:caps w:val="0"/>
          <w:color w:val="000000"/>
          <w:spacing w:val="0"/>
          <w:sz w:val="32"/>
          <w:szCs w:val="32"/>
          <w:u w:val="none"/>
          <w:lang w:val="en-US" w:eastAsia="zh-CN"/>
        </w:rPr>
      </w:pPr>
    </w:p>
    <w:p w14:paraId="0E88DE06">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40" w:lineRule="exact"/>
        <w:jc w:val="center"/>
        <w:textAlignment w:val="auto"/>
        <w:outlineLvl w:val="1"/>
        <w:rPr>
          <w:rFonts w:hint="eastAsia" w:ascii="黑体" w:hAnsi="黑体" w:eastAsia="黑体" w:cs="黑体"/>
          <w:b w:val="0"/>
          <w:bCs w:val="0"/>
          <w:caps w:val="0"/>
          <w:color w:val="000000"/>
          <w:spacing w:val="0"/>
          <w:sz w:val="32"/>
          <w:szCs w:val="32"/>
          <w:u w:val="none"/>
          <w:lang w:val="en-US" w:eastAsia="zh-CN"/>
        </w:rPr>
      </w:pPr>
      <w:r>
        <w:rPr>
          <w:rFonts w:hint="eastAsia" w:ascii="黑体" w:hAnsi="黑体" w:eastAsia="黑体" w:cs="黑体"/>
          <w:b w:val="0"/>
          <w:bCs w:val="0"/>
          <w:caps w:val="0"/>
          <w:color w:val="000000"/>
          <w:spacing w:val="0"/>
          <w:sz w:val="32"/>
          <w:szCs w:val="32"/>
          <w:u w:val="none"/>
          <w:lang w:val="en-US" w:eastAsia="zh-CN"/>
        </w:rPr>
        <w:t>第二章  管理体系与职责</w:t>
      </w:r>
    </w:p>
    <w:p w14:paraId="59D2E705">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 w:hAnsi="仿宋" w:eastAsia="仿宋" w:cs="仿宋"/>
          <w:b w:val="0"/>
          <w:bCs w:val="0"/>
          <w:caps w:val="0"/>
          <w:color w:val="1F1F1F"/>
          <w:spacing w:val="0"/>
          <w:kern w:val="0"/>
          <w:sz w:val="32"/>
          <w:szCs w:val="32"/>
          <w:u w:val="none"/>
          <w:lang w:val="en-US" w:eastAsia="zh-CN" w:bidi="ar"/>
        </w:rPr>
      </w:pPr>
      <w:r>
        <w:rPr>
          <w:rStyle w:val="16"/>
          <w:rFonts w:hint="eastAsia" w:ascii="黑体" w:hAnsi="黑体" w:eastAsia="黑体" w:cs="黑体"/>
          <w:b w:val="0"/>
          <w:bCs/>
          <w:caps w:val="0"/>
          <w:color w:val="1F1F1F"/>
          <w:spacing w:val="0"/>
          <w:sz w:val="32"/>
          <w:szCs w:val="32"/>
          <w:u w:val="none"/>
        </w:rPr>
        <w:t>第四条</w:t>
      </w:r>
      <w:r>
        <w:rPr>
          <w:rFonts w:hint="eastAsia" w:ascii="仿宋" w:hAnsi="仿宋" w:eastAsia="仿宋" w:cs="仿宋"/>
          <w:caps w:val="0"/>
          <w:color w:val="1F1F1F"/>
          <w:spacing w:val="0"/>
          <w:sz w:val="32"/>
          <w:szCs w:val="32"/>
          <w:u w:val="none"/>
        </w:rPr>
        <w:t xml:space="preserve"> </w:t>
      </w:r>
      <w:r>
        <w:rPr>
          <w:rFonts w:hint="eastAsia" w:ascii="仿宋" w:hAnsi="仿宋" w:eastAsia="仿宋" w:cs="仿宋"/>
          <w:caps w:val="0"/>
          <w:color w:val="1F1F1F"/>
          <w:spacing w:val="0"/>
          <w:sz w:val="32"/>
          <w:szCs w:val="32"/>
          <w:u w:val="none"/>
          <w:lang w:val="en-US" w:eastAsia="zh-CN"/>
        </w:rPr>
        <w:t xml:space="preserve"> </w:t>
      </w:r>
      <w:r>
        <w:rPr>
          <w:rFonts w:hint="eastAsia" w:ascii="仿宋_GB2312" w:hAnsi="仿宋_GB2312" w:eastAsia="仿宋_GB2312" w:cs="仿宋_GB2312"/>
          <w:b w:val="0"/>
          <w:bCs w:val="0"/>
          <w:caps w:val="0"/>
          <w:color w:val="1F1F1F"/>
          <w:spacing w:val="0"/>
          <w:kern w:val="0"/>
          <w:sz w:val="32"/>
          <w:szCs w:val="32"/>
          <w:u w:val="none"/>
          <w:lang w:val="en-US" w:eastAsia="zh-CN" w:bidi="ar"/>
        </w:rPr>
        <w:t>学校实验室安全工作领导小组（下称“领导小组”）全面负责指导实验室安全分级分类管理工作。领导小组成员按照教育部文件《高等学校实验室安全规范》《高等学校实验室安全分级分类管理办法》规定，承担其相应职责。</w:t>
      </w:r>
    </w:p>
    <w:p w14:paraId="23CF8506">
      <w:pPr>
        <w:pStyle w:val="11"/>
        <w:keepNext w:val="0"/>
        <w:keepLines w:val="0"/>
        <w:pageBreakBefore w:val="0"/>
        <w:shd w:val="clear" w:color="auto" w:fill="FFFFFF"/>
        <w:kinsoku/>
        <w:wordWrap/>
        <w:overflowPunct/>
        <w:topLinePunct w:val="0"/>
        <w:autoSpaceDE/>
        <w:autoSpaceDN/>
        <w:bidi w:val="0"/>
        <w:spacing w:before="0" w:beforeAutospacing="0" w:after="0" w:afterAutospacing="0" w:line="540" w:lineRule="exact"/>
        <w:ind w:firstLine="600"/>
        <w:jc w:val="both"/>
        <w:textAlignment w:val="auto"/>
        <w:rPr>
          <w:rFonts w:hint="eastAsia" w:ascii="仿宋" w:hAnsi="仿宋" w:eastAsia="仿宋" w:cs="仿宋"/>
          <w:caps w:val="0"/>
          <w:color w:val="1F1F1F"/>
          <w:spacing w:val="0"/>
          <w:kern w:val="2"/>
          <w:sz w:val="32"/>
          <w:szCs w:val="32"/>
          <w:u w:val="none"/>
          <w:lang w:val="en-US" w:eastAsia="zh-CN" w:bidi="ar-SA"/>
        </w:rPr>
      </w:pPr>
      <w:r>
        <w:rPr>
          <w:rStyle w:val="16"/>
          <w:rFonts w:hint="eastAsia" w:ascii="黑体" w:hAnsi="黑体" w:eastAsia="黑体" w:cs="黑体"/>
          <w:b w:val="0"/>
          <w:bCs/>
          <w:caps w:val="0"/>
          <w:color w:val="1F1F1F"/>
          <w:spacing w:val="0"/>
          <w:sz w:val="32"/>
          <w:szCs w:val="32"/>
          <w:u w:val="none"/>
        </w:rPr>
        <w:t>第五条</w:t>
      </w:r>
      <w:r>
        <w:rPr>
          <w:rStyle w:val="16"/>
          <w:rFonts w:hint="eastAsia" w:ascii="仿宋" w:hAnsi="仿宋" w:eastAsia="仿宋" w:cs="仿宋"/>
          <w:caps w:val="0"/>
          <w:color w:val="1F1F1F"/>
          <w:spacing w:val="0"/>
          <w:sz w:val="32"/>
          <w:szCs w:val="32"/>
          <w:u w:val="none"/>
        </w:rPr>
        <w:t xml:space="preserve"> </w:t>
      </w:r>
      <w:r>
        <w:rPr>
          <w:rStyle w:val="16"/>
          <w:rFonts w:hint="eastAsia" w:ascii="仿宋" w:hAnsi="仿宋" w:eastAsia="仿宋" w:cs="仿宋"/>
          <w:caps w:val="0"/>
          <w:color w:val="1F1F1F"/>
          <w:spacing w:val="0"/>
          <w:sz w:val="32"/>
          <w:szCs w:val="32"/>
          <w:u w:val="none"/>
          <w:lang w:val="en-US" w:eastAsia="zh-CN"/>
        </w:rPr>
        <w:t xml:space="preserve"> </w:t>
      </w:r>
      <w:r>
        <w:rPr>
          <w:rFonts w:hint="eastAsia" w:ascii="仿宋_GB2312" w:hAnsi="仿宋_GB2312" w:eastAsia="仿宋_GB2312" w:cs="仿宋_GB2312"/>
          <w:caps w:val="0"/>
          <w:color w:val="1F1F1F"/>
          <w:spacing w:val="0"/>
          <w:kern w:val="2"/>
          <w:sz w:val="32"/>
          <w:szCs w:val="32"/>
          <w:u w:val="none"/>
          <w:lang w:val="en-US" w:eastAsia="zh-CN" w:bidi="ar-SA"/>
        </w:rPr>
        <w:t>实验室与设备管理处是学校实验室安全管理的主要职能部门，负责牵头制定学校实验室安全分级分类管理办法，统筹开展全校实验室分级分类认定工作，建立本校实验室安全分级分类管理台账，并有针对性地实施差异化管理。</w:t>
      </w:r>
    </w:p>
    <w:p w14:paraId="2A7956E5">
      <w:pPr>
        <w:keepNext w:val="0"/>
        <w:keepLines w:val="0"/>
        <w:pageBreakBefore w:val="0"/>
        <w:widowControl w:val="0"/>
        <w:numPr>
          <w:ilvl w:val="255"/>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rPr>
      </w:pPr>
      <w:r>
        <w:rPr>
          <w:rStyle w:val="16"/>
          <w:rFonts w:hint="eastAsia" w:ascii="黑体" w:hAnsi="黑体" w:eastAsia="黑体" w:cs="黑体"/>
          <w:b w:val="0"/>
          <w:bCs/>
          <w:caps w:val="0"/>
          <w:color w:val="1F1F1F"/>
          <w:spacing w:val="0"/>
          <w:kern w:val="0"/>
          <w:sz w:val="32"/>
          <w:szCs w:val="32"/>
          <w:u w:val="none"/>
          <w:lang w:val="en-US" w:eastAsia="zh-CN" w:bidi="ar"/>
        </w:rPr>
        <w:t>第六条</w:t>
      </w:r>
      <w:r>
        <w:rPr>
          <w:rStyle w:val="16"/>
          <w:rFonts w:hint="eastAsia" w:ascii="仿宋" w:hAnsi="仿宋" w:eastAsia="仿宋" w:cs="仿宋"/>
          <w:caps w:val="0"/>
          <w:color w:val="1F1F1F"/>
          <w:spacing w:val="0"/>
          <w:sz w:val="32"/>
          <w:szCs w:val="32"/>
          <w:u w:val="none"/>
        </w:rPr>
        <w:t xml:space="preserve"> </w:t>
      </w:r>
      <w:r>
        <w:rPr>
          <w:rStyle w:val="16"/>
          <w:rFonts w:hint="eastAsia" w:ascii="仿宋" w:hAnsi="仿宋" w:eastAsia="仿宋" w:cs="仿宋"/>
          <w:caps w:val="0"/>
          <w:color w:val="1F1F1F"/>
          <w:spacing w:val="0"/>
          <w:sz w:val="32"/>
          <w:szCs w:val="32"/>
          <w:u w:val="none"/>
          <w:lang w:val="en-US" w:eastAsia="zh-CN"/>
        </w:rPr>
        <w:t xml:space="preserve"> </w:t>
      </w:r>
      <w:r>
        <w:rPr>
          <w:rFonts w:hint="eastAsia" w:ascii="仿宋_GB2312" w:hAnsi="仿宋_GB2312" w:eastAsia="仿宋_GB2312" w:cs="仿宋_GB2312"/>
          <w:caps w:val="0"/>
          <w:color w:val="1F1F1F"/>
          <w:spacing w:val="0"/>
          <w:sz w:val="32"/>
          <w:szCs w:val="32"/>
          <w:u w:val="none"/>
          <w:lang w:val="en-US" w:eastAsia="zh-CN"/>
        </w:rPr>
        <w:t>二级单位</w:t>
      </w:r>
      <w:r>
        <w:rPr>
          <w:rFonts w:hint="eastAsia" w:ascii="仿宋_GB2312" w:hAnsi="仿宋_GB2312" w:eastAsia="仿宋_GB2312" w:cs="仿宋_GB2312"/>
          <w:caps w:val="0"/>
          <w:color w:val="1F1F1F"/>
          <w:spacing w:val="0"/>
          <w:sz w:val="32"/>
          <w:szCs w:val="32"/>
          <w:u w:val="none"/>
        </w:rPr>
        <w:t>作为</w:t>
      </w:r>
      <w:r>
        <w:rPr>
          <w:rFonts w:hint="eastAsia" w:ascii="仿宋_GB2312" w:hAnsi="仿宋_GB2312" w:eastAsia="仿宋_GB2312" w:cs="仿宋_GB2312"/>
          <w:caps w:val="0"/>
          <w:color w:val="1F1F1F"/>
          <w:spacing w:val="0"/>
          <w:sz w:val="32"/>
          <w:szCs w:val="32"/>
          <w:u w:val="none"/>
          <w:lang w:val="en-US" w:eastAsia="zh-CN"/>
        </w:rPr>
        <w:t>实验室</w:t>
      </w:r>
      <w:r>
        <w:rPr>
          <w:rFonts w:hint="eastAsia" w:ascii="仿宋_GB2312" w:hAnsi="仿宋_GB2312" w:eastAsia="仿宋_GB2312" w:cs="仿宋_GB2312"/>
          <w:caps w:val="0"/>
          <w:color w:val="1F1F1F"/>
          <w:spacing w:val="0"/>
          <w:sz w:val="32"/>
          <w:szCs w:val="32"/>
          <w:u w:val="none"/>
        </w:rPr>
        <w:t>安全</w:t>
      </w:r>
      <w:r>
        <w:rPr>
          <w:rFonts w:hint="eastAsia" w:ascii="仿宋_GB2312" w:hAnsi="仿宋_GB2312" w:eastAsia="仿宋_GB2312" w:cs="仿宋_GB2312"/>
          <w:caps w:val="0"/>
          <w:color w:val="1F1F1F"/>
          <w:spacing w:val="0"/>
          <w:sz w:val="32"/>
          <w:szCs w:val="32"/>
          <w:u w:val="none"/>
          <w:lang w:val="en-US" w:eastAsia="zh-CN"/>
        </w:rPr>
        <w:t>分级分类</w:t>
      </w:r>
      <w:r>
        <w:rPr>
          <w:rFonts w:hint="eastAsia" w:ascii="仿宋_GB2312" w:hAnsi="仿宋_GB2312" w:eastAsia="仿宋_GB2312" w:cs="仿宋_GB2312"/>
          <w:caps w:val="0"/>
          <w:color w:val="1F1F1F"/>
          <w:spacing w:val="0"/>
          <w:sz w:val="32"/>
          <w:szCs w:val="32"/>
          <w:u w:val="none"/>
        </w:rPr>
        <w:t>管理的责任单位，</w:t>
      </w:r>
      <w:r>
        <w:rPr>
          <w:rFonts w:hint="eastAsia" w:ascii="仿宋_GB2312" w:hAnsi="仿宋_GB2312" w:eastAsia="仿宋_GB2312" w:cs="仿宋_GB2312"/>
          <w:sz w:val="32"/>
          <w:szCs w:val="32"/>
        </w:rPr>
        <w:t>负责组织本单位实验室落实分级分类及安全管理要求，审核确认所属实验室类别和风险等级，建立本单位实验室安全分级分类管理台账，提交</w:t>
      </w:r>
      <w:r>
        <w:rPr>
          <w:rFonts w:hint="eastAsia" w:ascii="仿宋_GB2312" w:hAnsi="仿宋_GB2312" w:eastAsia="仿宋_GB2312" w:cs="仿宋_GB2312"/>
          <w:sz w:val="32"/>
          <w:szCs w:val="32"/>
          <w:lang w:val="en-US" w:eastAsia="zh-CN"/>
        </w:rPr>
        <w:t>实验室与设备管理处</w:t>
      </w:r>
      <w:r>
        <w:rPr>
          <w:rFonts w:hint="eastAsia" w:ascii="仿宋_GB2312" w:hAnsi="仿宋_GB2312" w:eastAsia="仿宋_GB2312" w:cs="仿宋_GB2312"/>
          <w:sz w:val="32"/>
          <w:szCs w:val="32"/>
        </w:rPr>
        <w:t>备案</w:t>
      </w:r>
      <w:r>
        <w:rPr>
          <w:rFonts w:hint="eastAsia" w:ascii="仿宋_GB2312" w:hAnsi="仿宋_GB2312" w:eastAsia="仿宋_GB2312" w:cs="仿宋_GB2312"/>
          <w:sz w:val="32"/>
          <w:szCs w:val="32"/>
          <w:lang w:eastAsia="zh-CN"/>
        </w:rPr>
        <w:t>；针对本单位不同类别和风险等级的实验室，制定相应管理细则与应急预案，加强对高风险等级实验室的管控。</w:t>
      </w:r>
      <w:r>
        <w:rPr>
          <w:rFonts w:hint="eastAsia" w:ascii="仿宋_GB2312" w:hAnsi="仿宋_GB2312" w:eastAsia="仿宋_GB2312" w:cs="仿宋_GB2312"/>
          <w:sz w:val="32"/>
          <w:szCs w:val="32"/>
        </w:rPr>
        <w:t>二级单位党政负责人是本单位实验室安全分级分类管理工作主要领导责任人。</w:t>
      </w:r>
    </w:p>
    <w:p w14:paraId="361700C4">
      <w:pPr>
        <w:pStyle w:val="11"/>
        <w:keepNext w:val="0"/>
        <w:keepLines w:val="0"/>
        <w:pageBreakBefore w:val="0"/>
        <w:shd w:val="clear" w:color="auto" w:fill="FFFFFF"/>
        <w:kinsoku/>
        <w:wordWrap/>
        <w:overflowPunct/>
        <w:topLinePunct w:val="0"/>
        <w:autoSpaceDE/>
        <w:autoSpaceDN/>
        <w:bidi w:val="0"/>
        <w:spacing w:before="0" w:beforeAutospacing="0" w:after="0" w:afterAutospacing="0" w:line="540" w:lineRule="exact"/>
        <w:ind w:firstLine="600"/>
        <w:jc w:val="both"/>
        <w:textAlignment w:val="auto"/>
        <w:rPr>
          <w:rFonts w:hint="eastAsia" w:ascii="仿宋" w:hAnsi="仿宋" w:eastAsia="仿宋" w:cs="仿宋"/>
          <w:color w:val="000000"/>
          <w:sz w:val="32"/>
          <w:szCs w:val="32"/>
        </w:rPr>
      </w:pPr>
      <w:r>
        <w:rPr>
          <w:rStyle w:val="16"/>
          <w:rFonts w:hint="eastAsia" w:ascii="黑体" w:hAnsi="黑体" w:eastAsia="黑体" w:cs="黑体"/>
          <w:b w:val="0"/>
          <w:bCs/>
          <w:caps w:val="0"/>
          <w:color w:val="1F1F1F"/>
          <w:spacing w:val="0"/>
          <w:kern w:val="0"/>
          <w:sz w:val="32"/>
          <w:szCs w:val="32"/>
          <w:u w:val="none"/>
          <w:lang w:val="en-US" w:eastAsia="zh-CN" w:bidi="ar"/>
        </w:rPr>
        <w:t>第七条</w:t>
      </w:r>
      <w:r>
        <w:rPr>
          <w:rStyle w:val="16"/>
          <w:rFonts w:hint="eastAsia" w:ascii="仿宋" w:hAnsi="仿宋" w:eastAsia="仿宋" w:cs="仿宋"/>
          <w:caps w:val="0"/>
          <w:color w:val="1F1F1F"/>
          <w:spacing w:val="0"/>
          <w:sz w:val="32"/>
          <w:szCs w:val="32"/>
          <w:u w:val="none"/>
        </w:rPr>
        <w:t xml:space="preserve"> </w:t>
      </w:r>
      <w:r>
        <w:rPr>
          <w:rStyle w:val="16"/>
          <w:rFonts w:hint="eastAsia" w:ascii="仿宋" w:hAnsi="仿宋" w:eastAsia="仿宋" w:cs="仿宋"/>
          <w:caps w:val="0"/>
          <w:color w:val="1F1F1F"/>
          <w:spacing w:val="0"/>
          <w:sz w:val="32"/>
          <w:szCs w:val="32"/>
          <w:u w:val="none"/>
          <w:lang w:val="en-US" w:eastAsia="zh-CN"/>
        </w:rPr>
        <w:t xml:space="preserve"> </w:t>
      </w:r>
      <w:r>
        <w:rPr>
          <w:rFonts w:hint="eastAsia" w:ascii="仿宋_GB2312" w:hAnsi="仿宋_GB2312" w:eastAsia="仿宋_GB2312" w:cs="仿宋_GB2312"/>
          <w:caps w:val="0"/>
          <w:color w:val="1F1F1F"/>
          <w:spacing w:val="0"/>
          <w:sz w:val="32"/>
          <w:szCs w:val="32"/>
          <w:u w:val="none"/>
        </w:rPr>
        <w:t>实验室负责人是本实验室安全</w:t>
      </w:r>
      <w:r>
        <w:rPr>
          <w:rFonts w:hint="eastAsia" w:ascii="仿宋_GB2312" w:hAnsi="仿宋_GB2312" w:eastAsia="仿宋_GB2312" w:cs="仿宋_GB2312"/>
          <w:caps w:val="0"/>
          <w:color w:val="1F1F1F"/>
          <w:spacing w:val="0"/>
          <w:sz w:val="32"/>
          <w:szCs w:val="32"/>
          <w:u w:val="none"/>
          <w:lang w:val="en-US" w:eastAsia="zh-CN"/>
        </w:rPr>
        <w:t>分级分类管理工作的直接</w:t>
      </w:r>
      <w:r>
        <w:rPr>
          <w:rFonts w:hint="eastAsia" w:ascii="仿宋_GB2312" w:hAnsi="仿宋_GB2312" w:eastAsia="仿宋_GB2312" w:cs="仿宋_GB2312"/>
          <w:caps w:val="0"/>
          <w:color w:val="1F1F1F"/>
          <w:spacing w:val="0"/>
          <w:sz w:val="32"/>
          <w:szCs w:val="32"/>
          <w:u w:val="none"/>
        </w:rPr>
        <w:t>责任人</w:t>
      </w:r>
      <w:r>
        <w:rPr>
          <w:rFonts w:hint="eastAsia" w:ascii="仿宋_GB2312" w:hAnsi="仿宋_GB2312" w:eastAsia="仿宋_GB2312" w:cs="仿宋_GB2312"/>
          <w:caps w:val="0"/>
          <w:color w:val="1F1F1F"/>
          <w:spacing w:val="0"/>
          <w:sz w:val="32"/>
          <w:szCs w:val="32"/>
          <w:u w:val="none"/>
          <w:lang w:eastAsia="zh-CN"/>
        </w:rPr>
        <w:t>，</w:t>
      </w:r>
      <w:r>
        <w:rPr>
          <w:rFonts w:hint="eastAsia" w:ascii="仿宋_GB2312" w:hAnsi="仿宋_GB2312" w:eastAsia="仿宋_GB2312" w:cs="仿宋_GB2312"/>
          <w:caps w:val="0"/>
          <w:color w:val="1F1F1F"/>
          <w:spacing w:val="0"/>
          <w:sz w:val="32"/>
          <w:szCs w:val="32"/>
          <w:u w:val="none"/>
          <w:lang w:val="en-US" w:eastAsia="zh-CN"/>
        </w:rPr>
        <w:t>应按照学校实验室安全分级分类管理办法</w:t>
      </w:r>
      <w:r>
        <w:rPr>
          <w:rFonts w:hint="eastAsia" w:ascii="仿宋_GB2312" w:hAnsi="仿宋_GB2312" w:eastAsia="仿宋_GB2312" w:cs="仿宋_GB2312"/>
          <w:caps w:val="0"/>
          <w:color w:val="1F1F1F"/>
          <w:spacing w:val="0"/>
          <w:sz w:val="32"/>
          <w:szCs w:val="32"/>
          <w:u w:val="none"/>
        </w:rPr>
        <w:t>要求，</w:t>
      </w:r>
      <w:r>
        <w:rPr>
          <w:rFonts w:hint="eastAsia" w:ascii="仿宋_GB2312" w:hAnsi="仿宋_GB2312" w:eastAsia="仿宋_GB2312" w:cs="仿宋_GB2312"/>
          <w:caps w:val="0"/>
          <w:color w:val="1F1F1F"/>
          <w:spacing w:val="0"/>
          <w:sz w:val="32"/>
          <w:szCs w:val="32"/>
          <w:u w:val="none"/>
          <w:lang w:val="en-US" w:eastAsia="zh-CN"/>
        </w:rPr>
        <w:t>判定本实验室类别</w:t>
      </w:r>
      <w:r>
        <w:rPr>
          <w:rFonts w:hint="eastAsia" w:ascii="仿宋_GB2312" w:hAnsi="仿宋_GB2312" w:eastAsia="仿宋_GB2312" w:cs="仿宋_GB2312"/>
          <w:caps w:val="0"/>
          <w:color w:val="1F1F1F"/>
          <w:spacing w:val="0"/>
          <w:sz w:val="32"/>
          <w:szCs w:val="32"/>
          <w:u w:val="none"/>
        </w:rPr>
        <w:t>和风险等级，</w:t>
      </w:r>
      <w:r>
        <w:rPr>
          <w:rFonts w:hint="eastAsia" w:ascii="仿宋_GB2312" w:hAnsi="仿宋_GB2312" w:eastAsia="仿宋_GB2312" w:cs="仿宋_GB2312"/>
          <w:caps w:val="0"/>
          <w:color w:val="1F1F1F"/>
          <w:spacing w:val="0"/>
          <w:sz w:val="32"/>
          <w:szCs w:val="32"/>
          <w:u w:val="none"/>
          <w:lang w:val="en-US" w:eastAsia="zh-CN"/>
        </w:rPr>
        <w:t>并报所属二级单位</w:t>
      </w:r>
      <w:r>
        <w:rPr>
          <w:rFonts w:hint="eastAsia" w:ascii="仿宋_GB2312" w:hAnsi="仿宋_GB2312" w:eastAsia="仿宋_GB2312" w:cs="仿宋_GB2312"/>
          <w:caps w:val="0"/>
          <w:color w:val="1F1F1F"/>
          <w:spacing w:val="0"/>
          <w:sz w:val="32"/>
          <w:szCs w:val="32"/>
          <w:u w:val="none"/>
        </w:rPr>
        <w:t>审核确认</w:t>
      </w:r>
      <w:r>
        <w:rPr>
          <w:rFonts w:hint="eastAsia" w:ascii="仿宋_GB2312" w:hAnsi="仿宋_GB2312" w:eastAsia="仿宋_GB2312" w:cs="仿宋_GB2312"/>
          <w:caps w:val="0"/>
          <w:color w:val="1F1F1F"/>
          <w:spacing w:val="0"/>
          <w:sz w:val="32"/>
          <w:szCs w:val="32"/>
          <w:u w:val="none"/>
          <w:lang w:eastAsia="zh-CN"/>
        </w:rPr>
        <w:t>；</w:t>
      </w:r>
      <w:r>
        <w:rPr>
          <w:rFonts w:hint="eastAsia" w:ascii="仿宋_GB2312" w:hAnsi="仿宋_GB2312" w:eastAsia="仿宋_GB2312" w:cs="仿宋_GB2312"/>
          <w:color w:val="000000"/>
          <w:sz w:val="32"/>
          <w:szCs w:val="32"/>
        </w:rPr>
        <w:t>负责实验室安全分级分类日常管理工作。</w:t>
      </w:r>
    </w:p>
    <w:p w14:paraId="1A2C8EEB">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40" w:lineRule="exact"/>
        <w:jc w:val="center"/>
        <w:textAlignment w:val="auto"/>
        <w:outlineLvl w:val="1"/>
        <w:rPr>
          <w:rStyle w:val="16"/>
          <w:rFonts w:hint="eastAsia" w:ascii="黑体" w:hAnsi="黑体" w:eastAsia="黑体" w:cs="黑体"/>
          <w:b w:val="0"/>
          <w:bCs/>
          <w:caps w:val="0"/>
          <w:color w:val="1F1F1F"/>
          <w:spacing w:val="0"/>
          <w:kern w:val="0"/>
          <w:sz w:val="32"/>
          <w:szCs w:val="32"/>
          <w:u w:val="none"/>
          <w:lang w:val="en-US" w:eastAsia="zh-CN" w:bidi="ar"/>
        </w:rPr>
      </w:pPr>
    </w:p>
    <w:p w14:paraId="48EB4CCC">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40" w:lineRule="exact"/>
        <w:ind w:leftChars="0"/>
        <w:jc w:val="center"/>
        <w:textAlignment w:val="auto"/>
        <w:outlineLvl w:val="1"/>
        <w:rPr>
          <w:rStyle w:val="16"/>
          <w:rFonts w:hint="eastAsia" w:ascii="黑体" w:hAnsi="黑体" w:eastAsia="黑体" w:cs="黑体"/>
          <w:b w:val="0"/>
          <w:bCs/>
          <w:caps w:val="0"/>
          <w:color w:val="1F1F1F"/>
          <w:spacing w:val="0"/>
          <w:kern w:val="0"/>
          <w:sz w:val="32"/>
          <w:szCs w:val="32"/>
          <w:u w:val="none"/>
          <w:lang w:val="en-US" w:eastAsia="zh-CN" w:bidi="ar"/>
        </w:rPr>
      </w:pPr>
      <w:r>
        <w:rPr>
          <w:rStyle w:val="16"/>
          <w:rFonts w:hint="eastAsia" w:ascii="黑体" w:hAnsi="黑体" w:eastAsia="黑体" w:cs="黑体"/>
          <w:b w:val="0"/>
          <w:bCs/>
          <w:caps w:val="0"/>
          <w:color w:val="1F1F1F"/>
          <w:spacing w:val="0"/>
          <w:kern w:val="0"/>
          <w:sz w:val="32"/>
          <w:szCs w:val="32"/>
          <w:u w:val="none"/>
          <w:lang w:val="en-US" w:eastAsia="zh-CN" w:bidi="ar"/>
        </w:rPr>
        <w:t>第三章  分级分类原则</w:t>
      </w:r>
    </w:p>
    <w:p w14:paraId="16D4CFEB">
      <w:pPr>
        <w:numPr>
          <w:ilvl w:val="0"/>
          <w:numId w:val="0"/>
        </w:numPr>
        <w:ind w:leftChars="0"/>
        <w:rPr>
          <w:rFonts w:hint="eastAsia"/>
          <w:sz w:val="32"/>
          <w:szCs w:val="32"/>
          <w:lang w:val="en-US" w:eastAsia="zh-CN"/>
        </w:rPr>
      </w:pPr>
    </w:p>
    <w:p w14:paraId="4B566A45">
      <w:pPr>
        <w:keepNext w:val="0"/>
        <w:keepLines w:val="0"/>
        <w:pageBreakBefore w:val="0"/>
        <w:widowControl w:val="0"/>
        <w:numPr>
          <w:ilvl w:val="255"/>
          <w:numId w:val="0"/>
        </w:numPr>
        <w:kinsoku/>
        <w:wordWrap/>
        <w:overflowPunct/>
        <w:topLinePunct w:val="0"/>
        <w:autoSpaceDE/>
        <w:autoSpaceDN/>
        <w:bidi w:val="0"/>
        <w:adjustRightInd w:val="0"/>
        <w:snapToGrid w:val="0"/>
        <w:spacing w:line="540" w:lineRule="exact"/>
        <w:ind w:firstLine="640" w:firstLineChars="200"/>
        <w:textAlignment w:val="auto"/>
        <w:rPr>
          <w:rStyle w:val="16"/>
          <w:rFonts w:hint="eastAsia" w:ascii="仿宋" w:hAnsi="仿宋" w:eastAsia="仿宋" w:cs="仿宋"/>
          <w:b w:val="0"/>
          <w:bCs/>
          <w:caps w:val="0"/>
          <w:color w:val="1F1F1F"/>
          <w:spacing w:val="0"/>
          <w:kern w:val="0"/>
          <w:sz w:val="32"/>
          <w:szCs w:val="32"/>
          <w:u w:val="none"/>
          <w:lang w:val="en-US" w:eastAsia="zh-CN" w:bidi="ar"/>
        </w:rPr>
      </w:pPr>
      <w:r>
        <w:rPr>
          <w:rStyle w:val="16"/>
          <w:rFonts w:hint="eastAsia" w:ascii="黑体" w:hAnsi="黑体" w:eastAsia="黑体" w:cs="黑体"/>
          <w:b w:val="0"/>
          <w:bCs/>
          <w:caps w:val="0"/>
          <w:color w:val="1F1F1F"/>
          <w:spacing w:val="0"/>
          <w:sz w:val="32"/>
          <w:szCs w:val="32"/>
          <w:u w:val="none"/>
        </w:rPr>
        <w:t>第八条</w:t>
      </w:r>
      <w:r>
        <w:rPr>
          <w:rStyle w:val="16"/>
          <w:rFonts w:hint="eastAsia" w:ascii="仿宋" w:hAnsi="仿宋" w:eastAsia="仿宋" w:cs="仿宋"/>
          <w:caps w:val="0"/>
          <w:color w:val="1F1F1F"/>
          <w:spacing w:val="0"/>
          <w:sz w:val="32"/>
          <w:szCs w:val="32"/>
          <w:u w:val="none"/>
        </w:rPr>
        <w:t xml:space="preserve"> </w:t>
      </w:r>
      <w:r>
        <w:rPr>
          <w:rStyle w:val="16"/>
          <w:rFonts w:hint="eastAsia" w:ascii="仿宋" w:hAnsi="仿宋" w:eastAsia="仿宋" w:cs="仿宋"/>
          <w:caps w:val="0"/>
          <w:color w:val="1F1F1F"/>
          <w:spacing w:val="0"/>
          <w:sz w:val="32"/>
          <w:szCs w:val="32"/>
          <w:u w:val="none"/>
          <w:lang w:val="en-US" w:eastAsia="zh-CN"/>
        </w:rPr>
        <w:t xml:space="preserve"> </w:t>
      </w:r>
      <w:r>
        <w:rPr>
          <w:rStyle w:val="16"/>
          <w:rFonts w:hint="eastAsia" w:ascii="仿宋_GB2312" w:hAnsi="仿宋_GB2312" w:eastAsia="仿宋_GB2312" w:cs="仿宋_GB2312"/>
          <w:b w:val="0"/>
          <w:bCs/>
          <w:caps w:val="0"/>
          <w:color w:val="1F1F1F"/>
          <w:spacing w:val="0"/>
          <w:kern w:val="0"/>
          <w:sz w:val="32"/>
          <w:szCs w:val="32"/>
          <w:u w:val="none"/>
          <w:lang w:val="en-US" w:eastAsia="zh-CN" w:bidi="ar"/>
        </w:rPr>
        <w:t>实验室安全分级是指根据实验室中存在的危险源及其存量进行风险评价，判定本实验室安全等级。实验室安全等级可分为一级（重大风险级）、二级（高风险级）、三级（中风险级）、四级（低风险级）4个等级。等级划分依据《泉州师范学院实验室安全分级表》（附件1）和《泉州师范学院实验室安全风险评价表》（附件2）。</w:t>
      </w:r>
    </w:p>
    <w:p w14:paraId="2233A1E2">
      <w:pPr>
        <w:keepNext w:val="0"/>
        <w:keepLines w:val="0"/>
        <w:pageBreakBefore w:val="0"/>
        <w:widowControl w:val="0"/>
        <w:kinsoku/>
        <w:wordWrap/>
        <w:overflowPunct/>
        <w:topLinePunct w:val="0"/>
        <w:autoSpaceDE/>
        <w:autoSpaceDN/>
        <w:bidi w:val="0"/>
        <w:adjustRightInd w:val="0"/>
        <w:snapToGrid w:val="0"/>
        <w:spacing w:line="540" w:lineRule="exact"/>
        <w:ind w:firstLine="641"/>
        <w:textAlignment w:val="auto"/>
        <w:rPr>
          <w:rFonts w:hint="eastAsia" w:ascii="仿宋_GB2312" w:hAnsi="仿宋_GB2312" w:eastAsia="仿宋_GB2312" w:cs="仿宋_GB2312"/>
          <w:sz w:val="32"/>
          <w:szCs w:val="32"/>
        </w:rPr>
      </w:pPr>
      <w:r>
        <w:rPr>
          <w:rStyle w:val="16"/>
          <w:rFonts w:hint="eastAsia" w:ascii="黑体" w:hAnsi="黑体" w:eastAsia="黑体" w:cs="黑体"/>
          <w:b w:val="0"/>
          <w:bCs/>
          <w:caps w:val="0"/>
          <w:color w:val="1F1F1F"/>
          <w:spacing w:val="0"/>
          <w:sz w:val="32"/>
          <w:szCs w:val="32"/>
          <w:u w:val="none"/>
        </w:rPr>
        <w:t>第九条</w:t>
      </w:r>
      <w:r>
        <w:rPr>
          <w:rStyle w:val="16"/>
          <w:rFonts w:hint="eastAsia" w:ascii="仿宋" w:hAnsi="仿宋" w:eastAsia="仿宋" w:cs="仿宋"/>
          <w:caps w:val="0"/>
          <w:color w:val="1F1F1F"/>
          <w:spacing w:val="0"/>
          <w:sz w:val="32"/>
          <w:szCs w:val="32"/>
          <w:u w:val="none"/>
        </w:rPr>
        <w:t xml:space="preserve"> </w:t>
      </w:r>
      <w:r>
        <w:rPr>
          <w:rStyle w:val="16"/>
          <w:rFonts w:hint="eastAsia" w:ascii="仿宋" w:hAnsi="仿宋" w:eastAsia="仿宋" w:cs="仿宋"/>
          <w:caps w:val="0"/>
          <w:color w:val="1F1F1F"/>
          <w:spacing w:val="0"/>
          <w:sz w:val="32"/>
          <w:szCs w:val="32"/>
          <w:u w:val="none"/>
          <w:lang w:val="en-US" w:eastAsia="zh-CN"/>
        </w:rPr>
        <w:t xml:space="preserve"> </w:t>
      </w:r>
      <w:r>
        <w:rPr>
          <w:rFonts w:hint="eastAsia" w:ascii="仿宋_GB2312" w:hAnsi="仿宋_GB2312" w:eastAsia="仿宋_GB2312" w:cs="仿宋_GB2312"/>
          <w:sz w:val="32"/>
          <w:szCs w:val="32"/>
        </w:rPr>
        <w:t>实验室安全分类是指依据实验室中存在的主要危险源类别判定实验室安全类别。同一间实验室涉及危险源种类较多的，可依据等级最高的危险源来判定其类别。</w:t>
      </w:r>
      <w:r>
        <w:rPr>
          <w:rFonts w:hint="eastAsia" w:ascii="仿宋_GB2312" w:hAnsi="仿宋_GB2312" w:eastAsia="仿宋_GB2312" w:cs="仿宋_GB2312"/>
          <w:sz w:val="32"/>
          <w:szCs w:val="32"/>
          <w:lang w:val="en-US" w:eastAsia="zh-CN"/>
        </w:rPr>
        <w:t>结合我校实验室</w:t>
      </w:r>
      <w:r>
        <w:rPr>
          <w:rFonts w:hint="eastAsia" w:ascii="仿宋_GB2312" w:hAnsi="仿宋_GB2312" w:eastAsia="仿宋_GB2312" w:cs="仿宋_GB2312"/>
          <w:sz w:val="32"/>
          <w:szCs w:val="32"/>
        </w:rPr>
        <w:t>特点，实验室可划分为化学类、生物类、辐射类、机电类、其他类等</w:t>
      </w:r>
      <w:r>
        <w:rPr>
          <w:rFonts w:hint="eastAsia" w:ascii="仿宋_GB2312" w:hAnsi="仿宋_GB2312" w:eastAsia="仿宋_GB2312" w:cs="仿宋_GB2312"/>
          <w:sz w:val="32"/>
          <w:szCs w:val="32"/>
          <w:lang w:val="en-US" w:eastAsia="zh-CN"/>
        </w:rPr>
        <w:t>5个</w:t>
      </w:r>
      <w:r>
        <w:rPr>
          <w:rFonts w:hint="eastAsia" w:ascii="仿宋_GB2312" w:hAnsi="仿宋_GB2312" w:eastAsia="仿宋_GB2312" w:cs="仿宋_GB2312"/>
          <w:sz w:val="32"/>
          <w:szCs w:val="32"/>
        </w:rPr>
        <w:t>类别。类别划分</w:t>
      </w:r>
      <w:r>
        <w:rPr>
          <w:rFonts w:hint="eastAsia" w:ascii="仿宋_GB2312" w:hAnsi="仿宋_GB2312" w:eastAsia="仿宋_GB2312" w:cs="仿宋_GB2312"/>
          <w:sz w:val="32"/>
          <w:szCs w:val="32"/>
          <w:lang w:val="en-US" w:eastAsia="zh-CN"/>
        </w:rPr>
        <w:t>依据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泉州师范学院</w:t>
      </w:r>
      <w:r>
        <w:rPr>
          <w:rFonts w:hint="eastAsia" w:ascii="仿宋_GB2312" w:hAnsi="仿宋_GB2312" w:eastAsia="仿宋_GB2312" w:cs="仿宋_GB2312"/>
          <w:sz w:val="32"/>
          <w:szCs w:val="32"/>
        </w:rPr>
        <w:t>实验室分类参照表》（附件3）。</w:t>
      </w:r>
    </w:p>
    <w:p w14:paraId="403AA293">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hint="eastAsia" w:ascii="仿宋" w:hAnsi="仿宋" w:eastAsia="仿宋" w:cs="仿宋"/>
          <w:caps w:val="0"/>
          <w:color w:val="000000"/>
          <w:spacing w:val="0"/>
          <w:sz w:val="32"/>
          <w:szCs w:val="32"/>
          <w:u w:val="none"/>
        </w:rPr>
      </w:pPr>
      <w:r>
        <w:rPr>
          <w:rStyle w:val="16"/>
          <w:rFonts w:hint="eastAsia" w:ascii="黑体" w:hAnsi="黑体" w:eastAsia="黑体" w:cs="黑体"/>
          <w:caps w:val="0"/>
          <w:color w:val="1F1F1F"/>
          <w:spacing w:val="0"/>
          <w:sz w:val="32"/>
          <w:szCs w:val="32"/>
          <w:u w:val="none"/>
        </w:rPr>
        <w:t>第</w:t>
      </w:r>
      <w:r>
        <w:rPr>
          <w:rStyle w:val="16"/>
          <w:rFonts w:hint="eastAsia" w:ascii="黑体" w:hAnsi="黑体" w:eastAsia="黑体" w:cs="黑体"/>
          <w:b w:val="0"/>
          <w:bCs/>
          <w:caps w:val="0"/>
          <w:color w:val="1F1F1F"/>
          <w:spacing w:val="0"/>
          <w:kern w:val="2"/>
          <w:sz w:val="32"/>
          <w:szCs w:val="32"/>
          <w:u w:val="none"/>
          <w:lang w:val="en-US" w:eastAsia="zh-CN" w:bidi="ar-SA"/>
        </w:rPr>
        <w:t>十条</w:t>
      </w:r>
      <w:r>
        <w:rPr>
          <w:rStyle w:val="16"/>
          <w:rFonts w:hint="eastAsia" w:ascii="仿宋" w:hAnsi="仿宋" w:eastAsia="仿宋" w:cs="仿宋"/>
          <w:caps w:val="0"/>
          <w:color w:val="1F1F1F"/>
          <w:spacing w:val="0"/>
          <w:sz w:val="32"/>
          <w:szCs w:val="32"/>
          <w:u w:val="none"/>
        </w:rPr>
        <w:t xml:space="preserve"> </w:t>
      </w:r>
      <w:r>
        <w:rPr>
          <w:rStyle w:val="16"/>
          <w:rFonts w:hint="eastAsia" w:ascii="仿宋" w:hAnsi="仿宋" w:eastAsia="仿宋" w:cs="仿宋"/>
          <w:caps w:val="0"/>
          <w:color w:val="1F1F1F"/>
          <w:spacing w:val="0"/>
          <w:sz w:val="32"/>
          <w:szCs w:val="32"/>
          <w:u w:val="none"/>
          <w:lang w:val="en-US" w:eastAsia="zh-CN"/>
        </w:rPr>
        <w:t xml:space="preserve"> </w:t>
      </w:r>
      <w:r>
        <w:rPr>
          <w:rFonts w:hint="eastAsia" w:ascii="仿宋_GB2312" w:hAnsi="仿宋_GB2312" w:eastAsia="仿宋_GB2312" w:cs="仿宋_GB2312"/>
          <w:sz w:val="32"/>
          <w:szCs w:val="32"/>
        </w:rPr>
        <w:t>实验室分级分类结果和所涉及的主要危险源应在实验室门外的安全信息牌上标明，并及时更新。</w:t>
      </w:r>
    </w:p>
    <w:p w14:paraId="57833D03">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 w:hAnsi="仿宋" w:eastAsia="仿宋" w:cs="仿宋"/>
          <w:caps w:val="0"/>
          <w:color w:val="1F1F1F"/>
          <w:spacing w:val="0"/>
          <w:sz w:val="32"/>
          <w:szCs w:val="32"/>
          <w:u w:val="none"/>
        </w:rPr>
      </w:pPr>
      <w:r>
        <w:rPr>
          <w:rStyle w:val="16"/>
          <w:rFonts w:hint="eastAsia" w:ascii="黑体" w:hAnsi="黑体" w:eastAsia="黑体" w:cs="黑体"/>
          <w:b w:val="0"/>
          <w:bCs/>
          <w:caps w:val="0"/>
          <w:color w:val="1F1F1F"/>
          <w:spacing w:val="0"/>
          <w:sz w:val="32"/>
          <w:szCs w:val="32"/>
          <w:u w:val="none"/>
        </w:rPr>
        <w:t>第十一条</w:t>
      </w:r>
      <w:r>
        <w:rPr>
          <w:rStyle w:val="16"/>
          <w:rFonts w:hint="eastAsia" w:ascii="仿宋" w:hAnsi="仿宋" w:eastAsia="仿宋" w:cs="仿宋"/>
          <w:caps w:val="0"/>
          <w:color w:val="1F1F1F"/>
          <w:spacing w:val="0"/>
          <w:sz w:val="32"/>
          <w:szCs w:val="32"/>
          <w:u w:val="none"/>
        </w:rPr>
        <w:t xml:space="preserve"> </w:t>
      </w:r>
      <w:r>
        <w:rPr>
          <w:rStyle w:val="16"/>
          <w:rFonts w:hint="eastAsia" w:ascii="仿宋" w:hAnsi="仿宋" w:eastAsia="仿宋" w:cs="仿宋"/>
          <w:caps w:val="0"/>
          <w:color w:val="1F1F1F"/>
          <w:spacing w:val="0"/>
          <w:sz w:val="32"/>
          <w:szCs w:val="32"/>
          <w:u w:val="none"/>
          <w:lang w:val="en-US" w:eastAsia="zh-CN"/>
        </w:rPr>
        <w:t xml:space="preserve"> </w:t>
      </w:r>
      <w:r>
        <w:rPr>
          <w:rFonts w:hint="eastAsia" w:ascii="仿宋_GB2312" w:hAnsi="仿宋_GB2312" w:eastAsia="仿宋_GB2312" w:cs="仿宋_GB2312"/>
          <w:caps w:val="0"/>
          <w:color w:val="1F1F1F"/>
          <w:spacing w:val="0"/>
          <w:sz w:val="32"/>
          <w:szCs w:val="32"/>
          <w:u w:val="none"/>
        </w:rPr>
        <w:t>实验室安全分级分类实行动态管理，</w:t>
      </w:r>
      <w:r>
        <w:rPr>
          <w:rFonts w:hint="eastAsia" w:ascii="仿宋_GB2312" w:hAnsi="仿宋_GB2312" w:eastAsia="仿宋_GB2312" w:cs="仿宋_GB2312"/>
          <w:sz w:val="32"/>
          <w:szCs w:val="32"/>
        </w:rPr>
        <w:t>实验室的用途如研究内容、危险源类型与数量等因素发生变化时，实验室应立即重新进行危险源辨识和安全风险评价，重新判定实验室安全类别及级别，如需变更应立即报告所属二级单位。二级单位应及时修正本单位实验室安全分级分类管理台账，同时报</w:t>
      </w:r>
      <w:r>
        <w:rPr>
          <w:rFonts w:hint="eastAsia" w:ascii="仿宋_GB2312" w:hAnsi="仿宋_GB2312" w:eastAsia="仿宋_GB2312" w:cs="仿宋_GB2312"/>
          <w:caps w:val="0"/>
          <w:color w:val="1F1F1F"/>
          <w:spacing w:val="0"/>
          <w:sz w:val="32"/>
          <w:szCs w:val="32"/>
          <w:u w:val="none"/>
          <w:lang w:val="en-US" w:eastAsia="zh-CN"/>
        </w:rPr>
        <w:t>实验室</w:t>
      </w:r>
      <w:r>
        <w:rPr>
          <w:rFonts w:hint="eastAsia" w:ascii="仿宋_GB2312" w:hAnsi="仿宋_GB2312" w:eastAsia="仿宋_GB2312" w:cs="仿宋_GB2312"/>
          <w:caps w:val="0"/>
          <w:color w:val="1F1F1F"/>
          <w:spacing w:val="0"/>
          <w:sz w:val="32"/>
          <w:szCs w:val="32"/>
          <w:u w:val="none"/>
        </w:rPr>
        <w:t>与</w:t>
      </w:r>
      <w:r>
        <w:rPr>
          <w:rFonts w:hint="eastAsia" w:ascii="仿宋_GB2312" w:hAnsi="仿宋_GB2312" w:eastAsia="仿宋_GB2312" w:cs="仿宋_GB2312"/>
          <w:caps w:val="0"/>
          <w:color w:val="1F1F1F"/>
          <w:spacing w:val="0"/>
          <w:sz w:val="32"/>
          <w:szCs w:val="32"/>
          <w:u w:val="none"/>
          <w:lang w:val="en-US" w:eastAsia="zh-CN"/>
        </w:rPr>
        <w:t>设备</w:t>
      </w:r>
      <w:r>
        <w:rPr>
          <w:rFonts w:hint="eastAsia" w:ascii="仿宋_GB2312" w:hAnsi="仿宋_GB2312" w:eastAsia="仿宋_GB2312" w:cs="仿宋_GB2312"/>
          <w:caps w:val="0"/>
          <w:color w:val="1F1F1F"/>
          <w:spacing w:val="0"/>
          <w:sz w:val="32"/>
          <w:szCs w:val="32"/>
          <w:u w:val="none"/>
        </w:rPr>
        <w:t>管理处</w:t>
      </w:r>
      <w:r>
        <w:rPr>
          <w:rFonts w:hint="eastAsia" w:ascii="仿宋_GB2312" w:hAnsi="仿宋_GB2312" w:eastAsia="仿宋_GB2312" w:cs="仿宋_GB2312"/>
          <w:sz w:val="32"/>
          <w:szCs w:val="32"/>
        </w:rPr>
        <w:t>备案。</w:t>
      </w:r>
      <w:r>
        <w:rPr>
          <w:rFonts w:hint="eastAsia" w:ascii="仿宋_GB2312" w:hAnsi="仿宋_GB2312" w:eastAsia="仿宋_GB2312" w:cs="仿宋_GB2312"/>
          <w:caps w:val="0"/>
          <w:color w:val="1F1F1F"/>
          <w:spacing w:val="0"/>
          <w:sz w:val="32"/>
          <w:szCs w:val="32"/>
          <w:u w:val="none"/>
          <w:lang w:val="en-US" w:eastAsia="zh-CN"/>
        </w:rPr>
        <w:t>实验室</w:t>
      </w:r>
      <w:r>
        <w:rPr>
          <w:rFonts w:hint="eastAsia" w:ascii="仿宋_GB2312" w:hAnsi="仿宋_GB2312" w:eastAsia="仿宋_GB2312" w:cs="仿宋_GB2312"/>
          <w:caps w:val="0"/>
          <w:color w:val="1F1F1F"/>
          <w:spacing w:val="0"/>
          <w:sz w:val="32"/>
          <w:szCs w:val="32"/>
          <w:u w:val="none"/>
        </w:rPr>
        <w:t>与</w:t>
      </w:r>
      <w:r>
        <w:rPr>
          <w:rFonts w:hint="eastAsia" w:ascii="仿宋_GB2312" w:hAnsi="仿宋_GB2312" w:eastAsia="仿宋_GB2312" w:cs="仿宋_GB2312"/>
          <w:caps w:val="0"/>
          <w:color w:val="1F1F1F"/>
          <w:spacing w:val="0"/>
          <w:sz w:val="32"/>
          <w:szCs w:val="32"/>
          <w:u w:val="none"/>
          <w:lang w:val="en-US" w:eastAsia="zh-CN"/>
        </w:rPr>
        <w:t>设备</w:t>
      </w:r>
      <w:r>
        <w:rPr>
          <w:rFonts w:hint="eastAsia" w:ascii="仿宋_GB2312" w:hAnsi="仿宋_GB2312" w:eastAsia="仿宋_GB2312" w:cs="仿宋_GB2312"/>
          <w:caps w:val="0"/>
          <w:color w:val="1F1F1F"/>
          <w:spacing w:val="0"/>
          <w:sz w:val="32"/>
          <w:szCs w:val="32"/>
          <w:u w:val="none"/>
        </w:rPr>
        <w:t>管理处</w:t>
      </w:r>
      <w:r>
        <w:rPr>
          <w:rFonts w:hint="eastAsia" w:ascii="仿宋_GB2312" w:hAnsi="仿宋_GB2312" w:eastAsia="仿宋_GB2312" w:cs="仿宋_GB2312"/>
          <w:sz w:val="32"/>
          <w:szCs w:val="32"/>
        </w:rPr>
        <w:t>及时更新本校实验室安全分级分类管理台账，并定期对实验室分级分类情况进行复核。</w:t>
      </w:r>
    </w:p>
    <w:p w14:paraId="2D742428">
      <w:pPr>
        <w:keepNext w:val="0"/>
        <w:keepLines w:val="0"/>
        <w:pageBreakBefore w:val="0"/>
        <w:widowControl w:val="0"/>
        <w:numPr>
          <w:ilvl w:val="255"/>
          <w:numId w:val="0"/>
        </w:numPr>
        <w:kinsoku/>
        <w:wordWrap/>
        <w:overflowPunct/>
        <w:topLinePunct w:val="0"/>
        <w:autoSpaceDE/>
        <w:autoSpaceDN/>
        <w:bidi w:val="0"/>
        <w:adjustRightInd w:val="0"/>
        <w:snapToGrid w:val="0"/>
        <w:spacing w:line="540" w:lineRule="exact"/>
        <w:ind w:firstLine="640"/>
        <w:textAlignment w:val="auto"/>
        <w:rPr>
          <w:rFonts w:hint="eastAsia" w:ascii="仿宋" w:hAnsi="仿宋" w:eastAsia="仿宋" w:cs="仿宋"/>
          <w:sz w:val="32"/>
          <w:szCs w:val="32"/>
        </w:rPr>
      </w:pPr>
      <w:r>
        <w:rPr>
          <w:rStyle w:val="16"/>
          <w:rFonts w:hint="eastAsia" w:ascii="黑体" w:hAnsi="黑体" w:eastAsia="黑体" w:cs="黑体"/>
          <w:b w:val="0"/>
          <w:bCs/>
          <w:caps w:val="0"/>
          <w:color w:val="1F1F1F"/>
          <w:spacing w:val="0"/>
          <w:sz w:val="32"/>
          <w:szCs w:val="32"/>
          <w:u w:val="none"/>
        </w:rPr>
        <w:t>第十二条</w:t>
      </w:r>
      <w:r>
        <w:rPr>
          <w:rStyle w:val="16"/>
          <w:rFonts w:hint="eastAsia" w:ascii="仿宋" w:hAnsi="仿宋" w:eastAsia="仿宋" w:cs="仿宋"/>
          <w:caps w:val="0"/>
          <w:color w:val="1F1F1F"/>
          <w:spacing w:val="0"/>
          <w:sz w:val="32"/>
          <w:szCs w:val="32"/>
          <w:u w:val="none"/>
        </w:rPr>
        <w:t xml:space="preserve"> </w:t>
      </w:r>
      <w:r>
        <w:rPr>
          <w:rStyle w:val="16"/>
          <w:rFonts w:hint="eastAsia" w:ascii="仿宋" w:hAnsi="仿宋" w:eastAsia="仿宋" w:cs="仿宋"/>
          <w:caps w:val="0"/>
          <w:color w:val="1F1F1F"/>
          <w:spacing w:val="0"/>
          <w:sz w:val="32"/>
          <w:szCs w:val="32"/>
          <w:u w:val="none"/>
          <w:lang w:val="en-US" w:eastAsia="zh-CN"/>
        </w:rPr>
        <w:t xml:space="preserve"> </w:t>
      </w:r>
      <w:r>
        <w:rPr>
          <w:rFonts w:hint="eastAsia" w:ascii="仿宋_GB2312" w:hAnsi="仿宋_GB2312" w:eastAsia="仿宋_GB2312" w:cs="仿宋_GB2312"/>
          <w:sz w:val="32"/>
          <w:szCs w:val="32"/>
        </w:rPr>
        <w:t>新建、改扩建实验室时，危险源辨识和安全风险评价应与建设项目同步进行，实验室安全分级分类工作应与项目同步完成。</w:t>
      </w:r>
    </w:p>
    <w:p w14:paraId="6D0D123F">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40" w:lineRule="exact"/>
        <w:jc w:val="center"/>
        <w:textAlignment w:val="auto"/>
        <w:outlineLvl w:val="1"/>
        <w:rPr>
          <w:rFonts w:hint="eastAsia" w:ascii="黑体" w:hAnsi="黑体" w:eastAsia="黑体" w:cs="黑体"/>
          <w:b w:val="0"/>
          <w:bCs w:val="0"/>
          <w:caps w:val="0"/>
          <w:color w:val="000000"/>
          <w:spacing w:val="0"/>
          <w:sz w:val="32"/>
          <w:szCs w:val="32"/>
          <w:u w:val="none"/>
        </w:rPr>
      </w:pPr>
    </w:p>
    <w:p w14:paraId="09240E96">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40" w:lineRule="exact"/>
        <w:ind w:leftChars="0"/>
        <w:jc w:val="center"/>
        <w:textAlignment w:val="auto"/>
        <w:outlineLvl w:val="1"/>
        <w:rPr>
          <w:rFonts w:hint="eastAsia" w:ascii="黑体" w:hAnsi="黑体" w:eastAsia="黑体" w:cs="黑体"/>
          <w:b w:val="0"/>
          <w:bCs w:val="0"/>
          <w:caps w:val="0"/>
          <w:color w:val="000000"/>
          <w:spacing w:val="0"/>
          <w:sz w:val="32"/>
          <w:szCs w:val="32"/>
          <w:u w:val="none"/>
        </w:rPr>
      </w:pPr>
      <w:r>
        <w:rPr>
          <w:rFonts w:hint="eastAsia" w:ascii="黑体" w:hAnsi="黑体" w:eastAsia="黑体" w:cs="黑体"/>
          <w:b w:val="0"/>
          <w:bCs w:val="0"/>
          <w:caps w:val="0"/>
          <w:color w:val="000000"/>
          <w:spacing w:val="0"/>
          <w:sz w:val="32"/>
          <w:szCs w:val="32"/>
          <w:u w:val="none"/>
          <w:lang w:val="en-US" w:eastAsia="zh-CN"/>
        </w:rPr>
        <w:t>第四章  实施与</w:t>
      </w:r>
      <w:r>
        <w:rPr>
          <w:rFonts w:hint="eastAsia" w:ascii="黑体" w:hAnsi="黑体" w:eastAsia="黑体" w:cs="黑体"/>
          <w:b w:val="0"/>
          <w:bCs w:val="0"/>
          <w:caps w:val="0"/>
          <w:color w:val="000000"/>
          <w:spacing w:val="0"/>
          <w:sz w:val="32"/>
          <w:szCs w:val="32"/>
          <w:u w:val="none"/>
        </w:rPr>
        <w:t>监督检查</w:t>
      </w:r>
    </w:p>
    <w:p w14:paraId="061F0111">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仿宋_GB2312" w:hAnsi="仿宋_GB2312" w:eastAsia="仿宋_GB2312" w:cs="仿宋_GB2312"/>
          <w:sz w:val="32"/>
          <w:szCs w:val="32"/>
          <w:lang w:val="en-US" w:eastAsia="zh-CN"/>
        </w:rPr>
      </w:pPr>
      <w:r>
        <w:rPr>
          <w:rStyle w:val="16"/>
          <w:rFonts w:hint="eastAsia" w:ascii="黑体" w:hAnsi="黑体" w:eastAsia="黑体" w:cs="黑体"/>
          <w:caps w:val="0"/>
          <w:color w:val="1F1F1F"/>
          <w:spacing w:val="0"/>
          <w:sz w:val="32"/>
          <w:szCs w:val="32"/>
          <w:u w:val="none"/>
        </w:rPr>
        <w:t>第十三条</w:t>
      </w:r>
      <w:r>
        <w:rPr>
          <w:rStyle w:val="16"/>
          <w:rFonts w:hint="eastAsia" w:ascii="仿宋" w:hAnsi="仿宋" w:eastAsia="仿宋" w:cs="仿宋"/>
          <w:caps w:val="0"/>
          <w:color w:val="1F1F1F"/>
          <w:spacing w:val="0"/>
          <w:sz w:val="32"/>
          <w:szCs w:val="32"/>
          <w:u w:val="none"/>
        </w:rPr>
        <w:t xml:space="preserve"> </w:t>
      </w:r>
      <w:r>
        <w:rPr>
          <w:rStyle w:val="16"/>
          <w:rFonts w:hint="eastAsia" w:ascii="仿宋" w:hAnsi="仿宋" w:eastAsia="仿宋" w:cs="仿宋"/>
          <w:caps w:val="0"/>
          <w:color w:val="1F1F1F"/>
          <w:spacing w:val="0"/>
          <w:sz w:val="32"/>
          <w:szCs w:val="32"/>
          <w:u w:val="none"/>
          <w:lang w:val="en-US" w:eastAsia="zh-CN"/>
        </w:rPr>
        <w:t xml:space="preserve"> </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根据实验室分级分类结果，针对不同等级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不同类别的</w:t>
      </w:r>
      <w:r>
        <w:rPr>
          <w:rFonts w:hint="eastAsia" w:ascii="仿宋_GB2312" w:hAnsi="仿宋_GB2312" w:eastAsia="仿宋_GB2312" w:cs="仿宋_GB2312"/>
          <w:sz w:val="32"/>
          <w:szCs w:val="32"/>
        </w:rPr>
        <w:t>实验室</w:t>
      </w:r>
      <w:r>
        <w:rPr>
          <w:rFonts w:hint="eastAsia" w:ascii="仿宋_GB2312" w:hAnsi="仿宋_GB2312" w:eastAsia="仿宋_GB2312" w:cs="仿宋_GB2312"/>
          <w:sz w:val="32"/>
          <w:szCs w:val="32"/>
          <w:lang w:val="en-US" w:eastAsia="zh-CN"/>
        </w:rPr>
        <w:t>实行差异化</w:t>
      </w:r>
      <w:r>
        <w:rPr>
          <w:rFonts w:hint="eastAsia" w:ascii="仿宋_GB2312" w:hAnsi="仿宋_GB2312" w:eastAsia="仿宋_GB2312" w:cs="仿宋_GB2312"/>
          <w:sz w:val="32"/>
          <w:szCs w:val="32"/>
        </w:rPr>
        <w:t>管理，并按照“突出重点、全面覆盖”的原则加强实验室安全监管，及时保障实验室安全建设与投入。</w:t>
      </w:r>
      <w:r>
        <w:rPr>
          <w:rFonts w:hint="eastAsia" w:ascii="仿宋_GB2312" w:hAnsi="仿宋_GB2312" w:eastAsia="仿宋_GB2312" w:cs="仿宋_GB2312"/>
          <w:sz w:val="32"/>
          <w:szCs w:val="32"/>
          <w:lang w:val="en-US" w:eastAsia="zh-CN"/>
        </w:rPr>
        <w:t>具体管理要求如下：</w:t>
      </w:r>
    </w:p>
    <w:p w14:paraId="060F0EE7">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1.实验室安全信息门牌上须标明安全级别。</w:t>
      </w:r>
    </w:p>
    <w:p w14:paraId="6E232383">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5"/>
        <w:jc w:val="both"/>
        <w:textAlignment w:val="auto"/>
        <w:rPr>
          <w:rFonts w:hint="eastAsia" w:ascii="仿宋" w:hAnsi="仿宋" w:eastAsia="仿宋" w:cs="仿宋"/>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实验室必须进行危险源辨识和安全风险评估，根据危险源特性制定安全防控措施和应急预案，每年开展不少于1次针对重要危险源的应急演练，经二级单位审核确认，其中安全风险等级在三级以上的实验室，相关资料报实验室与设备管理处备案。</w:t>
      </w:r>
    </w:p>
    <w:p w14:paraId="62C76A42">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5"/>
        <w:jc w:val="both"/>
        <w:textAlignment w:val="auto"/>
        <w:rPr>
          <w:rFonts w:hint="eastAsia" w:ascii="仿宋_GB2312" w:hAnsi="仿宋_GB2312" w:eastAsia="仿宋_GB2312" w:cs="仿宋_GB2312"/>
          <w:caps w:val="0"/>
          <w:color w:val="1F1F1F"/>
          <w:spacing w:val="0"/>
          <w:sz w:val="32"/>
          <w:szCs w:val="32"/>
          <w:u w:val="none"/>
          <w:lang w:eastAsia="zh-CN"/>
        </w:rPr>
      </w:pPr>
      <w:r>
        <w:rPr>
          <w:rFonts w:hint="eastAsia" w:ascii="仿宋_GB2312" w:hAnsi="仿宋_GB2312" w:eastAsia="仿宋_GB2312" w:cs="仿宋_GB2312"/>
          <w:caps w:val="0"/>
          <w:color w:val="1F1F1F"/>
          <w:spacing w:val="0"/>
          <w:sz w:val="32"/>
          <w:szCs w:val="32"/>
          <w:u w:val="none"/>
          <w:lang w:val="en-US" w:eastAsia="zh-CN"/>
        </w:rPr>
        <w:t>3.</w:t>
      </w:r>
      <w:r>
        <w:rPr>
          <w:rFonts w:hint="eastAsia" w:ascii="仿宋_GB2312" w:hAnsi="仿宋_GB2312" w:eastAsia="仿宋_GB2312" w:cs="仿宋_GB2312"/>
          <w:caps w:val="0"/>
          <w:color w:val="1F1F1F"/>
          <w:spacing w:val="0"/>
          <w:sz w:val="32"/>
          <w:szCs w:val="32"/>
          <w:u w:val="none"/>
        </w:rPr>
        <w:t>实验室必须严格落实</w:t>
      </w:r>
      <w:r>
        <w:rPr>
          <w:rFonts w:hint="eastAsia" w:ascii="仿宋_GB2312" w:hAnsi="仿宋_GB2312" w:eastAsia="仿宋_GB2312" w:cs="仿宋_GB2312"/>
          <w:caps w:val="0"/>
          <w:color w:val="1F1F1F"/>
          <w:spacing w:val="0"/>
          <w:sz w:val="32"/>
          <w:szCs w:val="32"/>
          <w:u w:val="none"/>
          <w:lang w:val="en-US" w:eastAsia="zh-CN"/>
        </w:rPr>
        <w:t>安全</w:t>
      </w:r>
      <w:r>
        <w:rPr>
          <w:rFonts w:hint="eastAsia" w:ascii="仿宋_GB2312" w:hAnsi="仿宋_GB2312" w:eastAsia="仿宋_GB2312" w:cs="仿宋_GB2312"/>
          <w:caps w:val="0"/>
          <w:color w:val="1F1F1F"/>
          <w:spacing w:val="0"/>
          <w:sz w:val="32"/>
          <w:szCs w:val="32"/>
          <w:u w:val="none"/>
        </w:rPr>
        <w:t>准入制度，定期对在实验室开展</w:t>
      </w:r>
      <w:r>
        <w:rPr>
          <w:rFonts w:hint="eastAsia" w:ascii="仿宋_GB2312" w:hAnsi="仿宋_GB2312" w:eastAsia="仿宋_GB2312" w:cs="仿宋_GB2312"/>
          <w:caps w:val="0"/>
          <w:color w:val="1F1F1F"/>
          <w:spacing w:val="0"/>
          <w:sz w:val="32"/>
          <w:szCs w:val="32"/>
          <w:u w:val="none"/>
          <w:lang w:eastAsia="zh-CN"/>
        </w:rPr>
        <w:t>实验</w:t>
      </w:r>
      <w:r>
        <w:rPr>
          <w:rFonts w:hint="eastAsia" w:ascii="仿宋_GB2312" w:hAnsi="仿宋_GB2312" w:eastAsia="仿宋_GB2312" w:cs="仿宋_GB2312"/>
          <w:caps w:val="0"/>
          <w:color w:val="1F1F1F"/>
          <w:spacing w:val="0"/>
          <w:sz w:val="32"/>
          <w:szCs w:val="32"/>
          <w:u w:val="none"/>
        </w:rPr>
        <w:t>活动的人员进行实验室安全知识、安全规范及安全操作技能等安全教育培训。特种设备操作</w:t>
      </w:r>
      <w:r>
        <w:rPr>
          <w:rFonts w:hint="eastAsia" w:ascii="仿宋_GB2312" w:hAnsi="仿宋_GB2312" w:eastAsia="仿宋_GB2312" w:cs="仿宋_GB2312"/>
          <w:caps w:val="0"/>
          <w:color w:val="1F1F1F"/>
          <w:spacing w:val="0"/>
          <w:sz w:val="32"/>
          <w:szCs w:val="32"/>
          <w:u w:val="none"/>
          <w:lang w:val="en-US" w:eastAsia="zh-CN"/>
        </w:rPr>
        <w:t>人员</w:t>
      </w:r>
      <w:r>
        <w:rPr>
          <w:rFonts w:hint="eastAsia" w:ascii="仿宋_GB2312" w:hAnsi="仿宋_GB2312" w:eastAsia="仿宋_GB2312" w:cs="仿宋_GB2312"/>
          <w:caps w:val="0"/>
          <w:color w:val="1F1F1F"/>
          <w:spacing w:val="0"/>
          <w:sz w:val="32"/>
          <w:szCs w:val="32"/>
          <w:u w:val="none"/>
        </w:rPr>
        <w:t>必须</w:t>
      </w:r>
      <w:r>
        <w:rPr>
          <w:rFonts w:hint="eastAsia" w:ascii="仿宋_GB2312" w:hAnsi="仿宋_GB2312" w:eastAsia="仿宋_GB2312" w:cs="仿宋_GB2312"/>
          <w:caps w:val="0"/>
          <w:color w:val="1F1F1F"/>
          <w:spacing w:val="0"/>
          <w:sz w:val="32"/>
          <w:szCs w:val="32"/>
          <w:u w:val="none"/>
          <w:lang w:val="en-US" w:eastAsia="zh-CN"/>
        </w:rPr>
        <w:t>取得</w:t>
      </w:r>
      <w:r>
        <w:rPr>
          <w:rFonts w:hint="eastAsia" w:ascii="仿宋_GB2312" w:hAnsi="仿宋_GB2312" w:eastAsia="仿宋_GB2312" w:cs="仿宋_GB2312"/>
          <w:caps w:val="0"/>
          <w:color w:val="1F1F1F"/>
          <w:spacing w:val="0"/>
          <w:sz w:val="32"/>
          <w:szCs w:val="32"/>
          <w:u w:val="none"/>
        </w:rPr>
        <w:t>政府职能部门颁发的相应从业资格证书</w:t>
      </w:r>
      <w:r>
        <w:rPr>
          <w:rFonts w:hint="eastAsia" w:ascii="仿宋_GB2312" w:hAnsi="仿宋_GB2312" w:eastAsia="仿宋_GB2312" w:cs="仿宋_GB2312"/>
          <w:caps w:val="0"/>
          <w:color w:val="1F1F1F"/>
          <w:spacing w:val="0"/>
          <w:sz w:val="32"/>
          <w:szCs w:val="32"/>
          <w:u w:val="none"/>
          <w:lang w:eastAsia="zh-CN"/>
        </w:rPr>
        <w:t>，</w:t>
      </w:r>
      <w:r>
        <w:rPr>
          <w:rFonts w:hint="eastAsia" w:ascii="仿宋_GB2312" w:hAnsi="仿宋_GB2312" w:eastAsia="仿宋_GB2312" w:cs="仿宋_GB2312"/>
          <w:caps w:val="0"/>
          <w:color w:val="1F1F1F"/>
          <w:spacing w:val="0"/>
          <w:sz w:val="32"/>
          <w:szCs w:val="32"/>
          <w:u w:val="none"/>
          <w:lang w:val="en-US" w:eastAsia="zh-CN"/>
        </w:rPr>
        <w:t>持证上岗</w:t>
      </w:r>
      <w:r>
        <w:rPr>
          <w:rFonts w:hint="eastAsia" w:ascii="仿宋_GB2312" w:hAnsi="仿宋_GB2312" w:eastAsia="仿宋_GB2312" w:cs="仿宋_GB2312"/>
          <w:caps w:val="0"/>
          <w:color w:val="1F1F1F"/>
          <w:spacing w:val="0"/>
          <w:sz w:val="32"/>
          <w:szCs w:val="32"/>
          <w:u w:val="none"/>
          <w:lang w:eastAsia="zh-CN"/>
        </w:rPr>
        <w:t>。</w:t>
      </w:r>
    </w:p>
    <w:p w14:paraId="0FC2A8F4">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5"/>
        <w:jc w:val="both"/>
        <w:textAlignment w:val="auto"/>
        <w:rPr>
          <w:rFonts w:hint="eastAsia" w:ascii="仿宋" w:hAnsi="仿宋" w:eastAsia="仿宋" w:cs="仿宋"/>
          <w:caps w:val="0"/>
          <w:color w:val="000000"/>
          <w:spacing w:val="0"/>
          <w:sz w:val="32"/>
          <w:szCs w:val="32"/>
          <w:u w:val="none"/>
        </w:rPr>
      </w:pPr>
      <w:r>
        <w:rPr>
          <w:rFonts w:hint="eastAsia" w:ascii="仿宋_GB2312" w:hAnsi="仿宋_GB2312" w:eastAsia="仿宋_GB2312" w:cs="仿宋_GB2312"/>
          <w:caps w:val="0"/>
          <w:color w:val="000000"/>
          <w:spacing w:val="0"/>
          <w:sz w:val="32"/>
          <w:szCs w:val="32"/>
          <w:u w:val="none"/>
          <w:lang w:val="en-US" w:eastAsia="zh-CN"/>
        </w:rPr>
        <w:t>4.实验室</w:t>
      </w:r>
      <w:r>
        <w:rPr>
          <w:rFonts w:hint="eastAsia" w:ascii="仿宋_GB2312" w:hAnsi="仿宋_GB2312" w:eastAsia="仿宋_GB2312" w:cs="仿宋_GB2312"/>
          <w:caps w:val="0"/>
          <w:color w:val="1F1F1F"/>
          <w:spacing w:val="0"/>
          <w:sz w:val="32"/>
          <w:szCs w:val="32"/>
          <w:u w:val="none"/>
        </w:rPr>
        <w:t>高风险</w:t>
      </w:r>
      <w:r>
        <w:rPr>
          <w:rFonts w:hint="eastAsia" w:ascii="仿宋_GB2312" w:hAnsi="仿宋_GB2312" w:eastAsia="仿宋_GB2312" w:cs="仿宋_GB2312"/>
          <w:caps w:val="0"/>
          <w:color w:val="1F1F1F"/>
          <w:spacing w:val="0"/>
          <w:sz w:val="32"/>
          <w:szCs w:val="32"/>
          <w:u w:val="none"/>
          <w:lang w:val="en-US" w:eastAsia="zh-CN"/>
        </w:rPr>
        <w:t>或重要风险</w:t>
      </w:r>
      <w:r>
        <w:rPr>
          <w:rFonts w:hint="eastAsia" w:ascii="仿宋_GB2312" w:hAnsi="仿宋_GB2312" w:eastAsia="仿宋_GB2312" w:cs="仿宋_GB2312"/>
          <w:caps w:val="0"/>
          <w:color w:val="1F1F1F"/>
          <w:spacing w:val="0"/>
          <w:sz w:val="32"/>
          <w:szCs w:val="32"/>
          <w:u w:val="none"/>
        </w:rPr>
        <w:t>点位</w:t>
      </w:r>
      <w:r>
        <w:rPr>
          <w:rFonts w:hint="eastAsia" w:ascii="仿宋_GB2312" w:hAnsi="仿宋_GB2312" w:eastAsia="仿宋_GB2312" w:cs="仿宋_GB2312"/>
          <w:caps w:val="0"/>
          <w:color w:val="1F1F1F"/>
          <w:spacing w:val="0"/>
          <w:sz w:val="32"/>
          <w:szCs w:val="32"/>
          <w:u w:val="none"/>
          <w:lang w:val="en-US" w:eastAsia="zh-CN"/>
        </w:rPr>
        <w:t>须</w:t>
      </w:r>
      <w:r>
        <w:rPr>
          <w:rFonts w:hint="eastAsia" w:ascii="仿宋_GB2312" w:hAnsi="仿宋_GB2312" w:eastAsia="仿宋_GB2312" w:cs="仿宋_GB2312"/>
          <w:caps w:val="0"/>
          <w:color w:val="1F1F1F"/>
          <w:spacing w:val="0"/>
          <w:sz w:val="32"/>
          <w:szCs w:val="32"/>
          <w:u w:val="none"/>
        </w:rPr>
        <w:t>安装监控和必要的监测报警装置；实验室剧毒</w:t>
      </w:r>
      <w:r>
        <w:rPr>
          <w:rFonts w:hint="eastAsia" w:ascii="仿宋_GB2312" w:hAnsi="仿宋_GB2312" w:eastAsia="仿宋_GB2312" w:cs="仿宋_GB2312"/>
          <w:caps w:val="0"/>
          <w:color w:val="1F1F1F"/>
          <w:spacing w:val="0"/>
          <w:sz w:val="32"/>
          <w:szCs w:val="32"/>
          <w:u w:val="none"/>
          <w:lang w:eastAsia="zh-CN"/>
        </w:rPr>
        <w:t>、</w:t>
      </w:r>
      <w:r>
        <w:rPr>
          <w:rFonts w:hint="eastAsia" w:ascii="仿宋_GB2312" w:hAnsi="仿宋_GB2312" w:eastAsia="仿宋_GB2312" w:cs="仿宋_GB2312"/>
          <w:caps w:val="0"/>
          <w:color w:val="1F1F1F"/>
          <w:spacing w:val="0"/>
          <w:sz w:val="32"/>
          <w:szCs w:val="32"/>
          <w:u w:val="none"/>
        </w:rPr>
        <w:t>易制毒</w:t>
      </w:r>
      <w:r>
        <w:rPr>
          <w:rFonts w:hint="eastAsia" w:ascii="仿宋_GB2312" w:hAnsi="仿宋_GB2312" w:eastAsia="仿宋_GB2312" w:cs="仿宋_GB2312"/>
          <w:caps w:val="0"/>
          <w:color w:val="1F1F1F"/>
          <w:spacing w:val="0"/>
          <w:sz w:val="32"/>
          <w:szCs w:val="32"/>
          <w:u w:val="none"/>
          <w:lang w:eastAsia="zh-CN"/>
        </w:rPr>
        <w:t>、</w:t>
      </w:r>
      <w:r>
        <w:rPr>
          <w:rFonts w:hint="eastAsia" w:ascii="仿宋_GB2312" w:hAnsi="仿宋_GB2312" w:eastAsia="仿宋_GB2312" w:cs="仿宋_GB2312"/>
          <w:caps w:val="0"/>
          <w:color w:val="1F1F1F"/>
          <w:spacing w:val="0"/>
          <w:sz w:val="32"/>
          <w:szCs w:val="32"/>
          <w:u w:val="none"/>
          <w:lang w:val="en-US" w:eastAsia="zh-CN"/>
        </w:rPr>
        <w:t>易制爆</w:t>
      </w:r>
      <w:r>
        <w:rPr>
          <w:rFonts w:hint="eastAsia" w:ascii="仿宋_GB2312" w:hAnsi="仿宋_GB2312" w:eastAsia="仿宋_GB2312" w:cs="仿宋_GB2312"/>
          <w:caps w:val="0"/>
          <w:color w:val="1F1F1F"/>
          <w:spacing w:val="0"/>
          <w:sz w:val="32"/>
          <w:szCs w:val="32"/>
          <w:u w:val="none"/>
        </w:rPr>
        <w:t>化学品、爆炸品、放射性物品和病原微生物等重要危险源存储严格执行治安管控或其他部门监管要求</w:t>
      </w:r>
      <w:r>
        <w:rPr>
          <w:rFonts w:hint="eastAsia" w:ascii="仿宋_GB2312" w:hAnsi="仿宋_GB2312" w:eastAsia="仿宋_GB2312" w:cs="仿宋_GB2312"/>
          <w:caps w:val="0"/>
          <w:color w:val="1F1F1F"/>
          <w:spacing w:val="0"/>
          <w:sz w:val="32"/>
          <w:szCs w:val="32"/>
          <w:u w:val="none"/>
          <w:lang w:eastAsia="zh-CN"/>
        </w:rPr>
        <w:t>，</w:t>
      </w:r>
      <w:r>
        <w:rPr>
          <w:rFonts w:hint="eastAsia" w:ascii="仿宋_GB2312" w:hAnsi="仿宋_GB2312" w:eastAsia="仿宋_GB2312" w:cs="仿宋_GB2312"/>
          <w:caps w:val="0"/>
          <w:color w:val="1F1F1F"/>
          <w:spacing w:val="0"/>
          <w:sz w:val="32"/>
          <w:szCs w:val="32"/>
          <w:u w:val="none"/>
        </w:rPr>
        <w:t>指定专人负责；管理人员须加强安全教育培训；配备必要的个体防护设备设施</w:t>
      </w:r>
      <w:r>
        <w:rPr>
          <w:rFonts w:hint="eastAsia" w:ascii="仿宋_GB2312" w:hAnsi="仿宋_GB2312" w:eastAsia="仿宋_GB2312" w:cs="仿宋_GB2312"/>
          <w:caps w:val="0"/>
          <w:color w:val="000000"/>
          <w:spacing w:val="0"/>
          <w:sz w:val="32"/>
          <w:szCs w:val="32"/>
          <w:u w:val="none"/>
          <w:lang w:eastAsia="zh-CN"/>
        </w:rPr>
        <w:t>。</w:t>
      </w:r>
    </w:p>
    <w:p w14:paraId="5493C37D">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仿宋_GB2312" w:hAnsi="仿宋_GB2312" w:eastAsia="仿宋_GB2312" w:cs="仿宋_GB2312"/>
          <w:caps w:val="0"/>
          <w:color w:val="000000"/>
          <w:spacing w:val="0"/>
          <w:kern w:val="0"/>
          <w:sz w:val="32"/>
          <w:szCs w:val="32"/>
          <w:u w:val="none"/>
          <w:lang w:val="en-US" w:eastAsia="zh-CN" w:bidi="ar"/>
        </w:rPr>
      </w:pPr>
      <w:r>
        <w:rPr>
          <w:rStyle w:val="16"/>
          <w:rFonts w:hint="eastAsia" w:ascii="黑体" w:hAnsi="黑体" w:eastAsia="黑体" w:cs="黑体"/>
          <w:caps w:val="0"/>
          <w:color w:val="1F1F1F"/>
          <w:spacing w:val="0"/>
          <w:sz w:val="32"/>
          <w:szCs w:val="32"/>
          <w:u w:val="none"/>
        </w:rPr>
        <w:t>第</w:t>
      </w:r>
      <w:r>
        <w:rPr>
          <w:rStyle w:val="16"/>
          <w:rFonts w:hint="eastAsia" w:ascii="黑体" w:hAnsi="黑体" w:eastAsia="黑体" w:cs="黑体"/>
          <w:caps w:val="0"/>
          <w:color w:val="1F1F1F"/>
          <w:spacing w:val="0"/>
          <w:sz w:val="32"/>
          <w:szCs w:val="32"/>
          <w:u w:val="none"/>
          <w:lang w:val="en-US" w:eastAsia="zh-CN"/>
        </w:rPr>
        <w:t>十四</w:t>
      </w:r>
      <w:r>
        <w:rPr>
          <w:rStyle w:val="16"/>
          <w:rFonts w:hint="eastAsia" w:ascii="黑体" w:hAnsi="黑体" w:eastAsia="黑体" w:cs="黑体"/>
          <w:caps w:val="0"/>
          <w:color w:val="1F1F1F"/>
          <w:spacing w:val="0"/>
          <w:sz w:val="32"/>
          <w:szCs w:val="32"/>
          <w:u w:val="none"/>
        </w:rPr>
        <w:t>条</w:t>
      </w:r>
      <w:r>
        <w:rPr>
          <w:rStyle w:val="16"/>
          <w:rFonts w:hint="eastAsia" w:ascii="仿宋" w:hAnsi="仿宋" w:eastAsia="仿宋" w:cs="仿宋"/>
          <w:caps w:val="0"/>
          <w:color w:val="1F1F1F"/>
          <w:spacing w:val="0"/>
          <w:sz w:val="32"/>
          <w:szCs w:val="32"/>
          <w:u w:val="none"/>
        </w:rPr>
        <w:t xml:space="preserve"> </w:t>
      </w:r>
      <w:r>
        <w:rPr>
          <w:rStyle w:val="16"/>
          <w:rFonts w:hint="eastAsia" w:ascii="仿宋" w:hAnsi="仿宋" w:eastAsia="仿宋" w:cs="仿宋"/>
          <w:caps w:val="0"/>
          <w:color w:val="1F1F1F"/>
          <w:spacing w:val="0"/>
          <w:sz w:val="32"/>
          <w:szCs w:val="32"/>
          <w:u w:val="none"/>
          <w:lang w:val="en-US" w:eastAsia="zh-CN"/>
        </w:rPr>
        <w:t xml:space="preserve"> </w:t>
      </w:r>
      <w:r>
        <w:rPr>
          <w:rFonts w:hint="eastAsia" w:ascii="仿宋_GB2312" w:hAnsi="仿宋_GB2312" w:eastAsia="仿宋_GB2312" w:cs="仿宋_GB2312"/>
          <w:caps w:val="0"/>
          <w:color w:val="000000"/>
          <w:spacing w:val="0"/>
          <w:kern w:val="0"/>
          <w:sz w:val="32"/>
          <w:szCs w:val="32"/>
          <w:u w:val="none"/>
          <w:lang w:val="en-US" w:eastAsia="zh-CN" w:bidi="ar"/>
        </w:rPr>
        <w:t>学校党政主要负责人、实验室与设备管理处、二级单位、实验室等各级责任机构应根据学校、二级单位和本实验室实际情况，分级开展相应的安全检查工作。在重大隐患未完成整改前，不得在实验室中进行实验活动。具体分级安全检查要求如下：</w:t>
      </w:r>
    </w:p>
    <w:p w14:paraId="0A521DF6">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caps w:val="0"/>
          <w:color w:val="1F1F1F"/>
          <w:spacing w:val="0"/>
          <w:sz w:val="32"/>
          <w:szCs w:val="32"/>
          <w:u w:val="none"/>
          <w:lang w:eastAsia="zh-CN"/>
        </w:rPr>
      </w:pPr>
      <w:r>
        <w:rPr>
          <w:rFonts w:hint="eastAsia" w:ascii="仿宋_GB2312" w:hAnsi="仿宋_GB2312" w:eastAsia="仿宋_GB2312" w:cs="仿宋_GB2312"/>
          <w:caps w:val="0"/>
          <w:color w:val="1F1F1F"/>
          <w:spacing w:val="0"/>
          <w:sz w:val="32"/>
          <w:szCs w:val="32"/>
          <w:u w:val="none"/>
        </w:rPr>
        <w:t>1</w:t>
      </w:r>
      <w:r>
        <w:rPr>
          <w:rFonts w:hint="eastAsia" w:ascii="仿宋_GB2312" w:hAnsi="仿宋_GB2312" w:eastAsia="仿宋_GB2312" w:cs="仿宋_GB2312"/>
          <w:caps w:val="0"/>
          <w:color w:val="1F1F1F"/>
          <w:spacing w:val="0"/>
          <w:sz w:val="32"/>
          <w:szCs w:val="32"/>
          <w:u w:val="none"/>
          <w:lang w:val="en-US" w:eastAsia="zh-CN"/>
        </w:rPr>
        <w:t>.</w:t>
      </w:r>
      <w:r>
        <w:rPr>
          <w:rFonts w:hint="eastAsia" w:ascii="仿宋_GB2312" w:hAnsi="仿宋_GB2312" w:eastAsia="仿宋_GB2312" w:cs="仿宋_GB2312"/>
          <w:caps w:val="0"/>
          <w:color w:val="1F1F1F"/>
          <w:spacing w:val="0"/>
          <w:sz w:val="32"/>
          <w:szCs w:val="32"/>
          <w:u w:val="none"/>
        </w:rPr>
        <w:t>一级</w:t>
      </w:r>
      <w:r>
        <w:rPr>
          <w:rFonts w:hint="eastAsia" w:ascii="仿宋_GB2312" w:hAnsi="仿宋_GB2312" w:eastAsia="仿宋_GB2312" w:cs="仿宋_GB2312"/>
          <w:caps w:val="0"/>
          <w:color w:val="1F1F1F"/>
          <w:spacing w:val="0"/>
          <w:sz w:val="32"/>
          <w:szCs w:val="32"/>
          <w:u w:val="none"/>
          <w:lang w:eastAsia="zh-CN"/>
        </w:rPr>
        <w:t>（</w:t>
      </w:r>
      <w:r>
        <w:rPr>
          <w:rFonts w:hint="eastAsia" w:ascii="仿宋_GB2312" w:hAnsi="仿宋_GB2312" w:eastAsia="仿宋_GB2312" w:cs="仿宋_GB2312"/>
          <w:sz w:val="32"/>
          <w:szCs w:val="32"/>
        </w:rPr>
        <w:t>重大风险</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caps w:val="0"/>
          <w:color w:val="1F1F1F"/>
          <w:spacing w:val="0"/>
          <w:sz w:val="32"/>
          <w:szCs w:val="32"/>
          <w:u w:val="none"/>
          <w:lang w:eastAsia="zh-CN"/>
        </w:rPr>
        <w:t>）</w:t>
      </w:r>
      <w:r>
        <w:rPr>
          <w:rFonts w:hint="eastAsia" w:ascii="仿宋_GB2312" w:hAnsi="仿宋_GB2312" w:eastAsia="仿宋_GB2312" w:cs="仿宋_GB2312"/>
          <w:caps w:val="0"/>
          <w:color w:val="1F1F1F"/>
          <w:spacing w:val="0"/>
          <w:sz w:val="32"/>
          <w:szCs w:val="32"/>
          <w:u w:val="none"/>
        </w:rPr>
        <w:t>实验室</w:t>
      </w:r>
      <w:r>
        <w:rPr>
          <w:rFonts w:hint="eastAsia" w:ascii="仿宋_GB2312" w:hAnsi="仿宋_GB2312" w:eastAsia="仿宋_GB2312" w:cs="仿宋_GB2312"/>
          <w:caps w:val="0"/>
          <w:color w:val="1F1F1F"/>
          <w:spacing w:val="0"/>
          <w:sz w:val="32"/>
          <w:szCs w:val="32"/>
          <w:u w:val="none"/>
          <w:lang w:eastAsia="zh-CN"/>
        </w:rPr>
        <w:t>：</w:t>
      </w:r>
      <w:r>
        <w:rPr>
          <w:rFonts w:hint="eastAsia" w:ascii="仿宋_GB2312" w:hAnsi="仿宋_GB2312" w:eastAsia="仿宋_GB2312" w:cs="仿宋_GB2312"/>
          <w:caps w:val="0"/>
          <w:color w:val="1F1F1F"/>
          <w:spacing w:val="0"/>
          <w:sz w:val="32"/>
          <w:szCs w:val="32"/>
          <w:u w:val="none"/>
        </w:rPr>
        <w:t>实验室要有工作日志，学校党政主要负责人每年牵头开展不少于1次安全检查；</w:t>
      </w:r>
      <w:r>
        <w:rPr>
          <w:rFonts w:hint="eastAsia" w:ascii="仿宋_GB2312" w:hAnsi="仿宋_GB2312" w:eastAsia="仿宋_GB2312" w:cs="仿宋_GB2312"/>
          <w:caps w:val="0"/>
          <w:color w:val="1F1F1F"/>
          <w:spacing w:val="0"/>
          <w:sz w:val="32"/>
          <w:szCs w:val="32"/>
          <w:u w:val="none"/>
          <w:lang w:val="en-US" w:eastAsia="zh-CN"/>
        </w:rPr>
        <w:t>实验室与设备管理处</w:t>
      </w:r>
      <w:r>
        <w:rPr>
          <w:rFonts w:hint="eastAsia" w:ascii="仿宋_GB2312" w:hAnsi="仿宋_GB2312" w:eastAsia="仿宋_GB2312" w:cs="仿宋_GB2312"/>
          <w:caps w:val="0"/>
          <w:color w:val="1F1F1F"/>
          <w:spacing w:val="0"/>
          <w:sz w:val="32"/>
          <w:szCs w:val="32"/>
          <w:u w:val="none"/>
        </w:rPr>
        <w:t>每月开展不少于1次安全检查；二级单位每周开展不少于1次安全检查；实验室做到“实验结束必巡”</w:t>
      </w:r>
      <w:r>
        <w:rPr>
          <w:rFonts w:hint="eastAsia" w:ascii="仿宋_GB2312" w:hAnsi="仿宋_GB2312" w:eastAsia="仿宋_GB2312" w:cs="仿宋_GB2312"/>
          <w:caps w:val="0"/>
          <w:color w:val="1F1F1F"/>
          <w:spacing w:val="0"/>
          <w:sz w:val="32"/>
          <w:szCs w:val="32"/>
          <w:u w:val="none"/>
          <w:lang w:eastAsia="zh-CN"/>
        </w:rPr>
        <w:t>，</w:t>
      </w:r>
      <w:r>
        <w:rPr>
          <w:rFonts w:hint="eastAsia" w:ascii="仿宋_GB2312" w:hAnsi="仿宋_GB2312" w:eastAsia="仿宋_GB2312" w:cs="仿宋_GB2312"/>
          <w:caps w:val="0"/>
          <w:color w:val="1F1F1F"/>
          <w:spacing w:val="0"/>
          <w:sz w:val="32"/>
          <w:szCs w:val="32"/>
          <w:u w:val="none"/>
          <w:lang w:val="en-US" w:eastAsia="zh-CN"/>
        </w:rPr>
        <w:t>按时填写自查记录</w:t>
      </w:r>
      <w:r>
        <w:rPr>
          <w:rFonts w:hint="eastAsia" w:ascii="仿宋_GB2312" w:hAnsi="仿宋_GB2312" w:eastAsia="仿宋_GB2312" w:cs="仿宋_GB2312"/>
          <w:caps w:val="0"/>
          <w:color w:val="1F1F1F"/>
          <w:spacing w:val="0"/>
          <w:sz w:val="32"/>
          <w:szCs w:val="32"/>
          <w:u w:val="none"/>
          <w:lang w:eastAsia="zh-CN"/>
        </w:rPr>
        <w:t>。</w:t>
      </w:r>
    </w:p>
    <w:p w14:paraId="3DC10D4E">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caps w:val="0"/>
          <w:color w:val="1F1F1F"/>
          <w:spacing w:val="0"/>
          <w:sz w:val="32"/>
          <w:szCs w:val="32"/>
          <w:u w:val="none"/>
          <w:lang w:eastAsia="zh-CN"/>
        </w:rPr>
      </w:pPr>
      <w:r>
        <w:rPr>
          <w:rFonts w:hint="eastAsia" w:ascii="仿宋_GB2312" w:hAnsi="仿宋_GB2312" w:eastAsia="仿宋_GB2312" w:cs="仿宋_GB2312"/>
          <w:caps w:val="0"/>
          <w:color w:val="1F1F1F"/>
          <w:spacing w:val="0"/>
          <w:sz w:val="32"/>
          <w:szCs w:val="32"/>
          <w:u w:val="none"/>
        </w:rPr>
        <w:t>2</w:t>
      </w:r>
      <w:r>
        <w:rPr>
          <w:rFonts w:hint="eastAsia" w:ascii="仿宋_GB2312" w:hAnsi="仿宋_GB2312" w:eastAsia="仿宋_GB2312" w:cs="仿宋_GB2312"/>
          <w:caps w:val="0"/>
          <w:color w:val="1F1F1F"/>
          <w:spacing w:val="0"/>
          <w:sz w:val="32"/>
          <w:szCs w:val="32"/>
          <w:u w:val="none"/>
          <w:lang w:val="en-US" w:eastAsia="zh-CN"/>
        </w:rPr>
        <w:t>.二级（高风险级）</w:t>
      </w:r>
      <w:r>
        <w:rPr>
          <w:rFonts w:hint="eastAsia" w:ascii="仿宋_GB2312" w:hAnsi="仿宋_GB2312" w:eastAsia="仿宋_GB2312" w:cs="仿宋_GB2312"/>
          <w:caps w:val="0"/>
          <w:color w:val="1F1F1F"/>
          <w:spacing w:val="0"/>
          <w:sz w:val="32"/>
          <w:szCs w:val="32"/>
          <w:u w:val="none"/>
        </w:rPr>
        <w:t>实验室</w:t>
      </w:r>
      <w:r>
        <w:rPr>
          <w:rFonts w:hint="eastAsia" w:ascii="仿宋_GB2312" w:hAnsi="仿宋_GB2312" w:eastAsia="仿宋_GB2312" w:cs="仿宋_GB2312"/>
          <w:caps w:val="0"/>
          <w:color w:val="1F1F1F"/>
          <w:spacing w:val="0"/>
          <w:sz w:val="32"/>
          <w:szCs w:val="32"/>
          <w:u w:val="none"/>
          <w:lang w:eastAsia="zh-CN"/>
        </w:rPr>
        <w:t>：</w:t>
      </w:r>
      <w:r>
        <w:rPr>
          <w:rFonts w:hint="eastAsia" w:ascii="仿宋_GB2312" w:hAnsi="仿宋_GB2312" w:eastAsia="仿宋_GB2312" w:cs="仿宋_GB2312"/>
          <w:caps w:val="0"/>
          <w:color w:val="1F1F1F"/>
          <w:spacing w:val="0"/>
          <w:sz w:val="32"/>
          <w:szCs w:val="32"/>
          <w:u w:val="none"/>
        </w:rPr>
        <w:t>分管校领导每年牵头开展不少于1次安全检查；</w:t>
      </w:r>
      <w:r>
        <w:rPr>
          <w:rFonts w:hint="eastAsia" w:ascii="仿宋_GB2312" w:hAnsi="仿宋_GB2312" w:eastAsia="仿宋_GB2312" w:cs="仿宋_GB2312"/>
          <w:caps w:val="0"/>
          <w:color w:val="1F1F1F"/>
          <w:spacing w:val="0"/>
          <w:sz w:val="32"/>
          <w:szCs w:val="32"/>
          <w:u w:val="none"/>
          <w:lang w:val="en-US" w:eastAsia="zh-CN"/>
        </w:rPr>
        <w:t>实验室与设备管理处</w:t>
      </w:r>
      <w:r>
        <w:rPr>
          <w:rFonts w:hint="eastAsia" w:ascii="仿宋_GB2312" w:hAnsi="仿宋_GB2312" w:eastAsia="仿宋_GB2312" w:cs="仿宋_GB2312"/>
          <w:caps w:val="0"/>
          <w:color w:val="1F1F1F"/>
          <w:spacing w:val="0"/>
          <w:sz w:val="32"/>
          <w:szCs w:val="32"/>
          <w:u w:val="none"/>
        </w:rPr>
        <w:t>每季度开展不少于1次安全检查；二级单位每月开展不少于1次安全检查；实验室做到“实验结束必巡”</w:t>
      </w:r>
      <w:r>
        <w:rPr>
          <w:rFonts w:hint="eastAsia" w:ascii="仿宋_GB2312" w:hAnsi="仿宋_GB2312" w:eastAsia="仿宋_GB2312" w:cs="仿宋_GB2312"/>
          <w:caps w:val="0"/>
          <w:color w:val="1F1F1F"/>
          <w:spacing w:val="0"/>
          <w:sz w:val="32"/>
          <w:szCs w:val="32"/>
          <w:u w:val="none"/>
          <w:lang w:eastAsia="zh-CN"/>
        </w:rPr>
        <w:t>，</w:t>
      </w:r>
      <w:r>
        <w:rPr>
          <w:rFonts w:hint="eastAsia" w:ascii="仿宋_GB2312" w:hAnsi="仿宋_GB2312" w:eastAsia="仿宋_GB2312" w:cs="仿宋_GB2312"/>
          <w:caps w:val="0"/>
          <w:color w:val="1F1F1F"/>
          <w:spacing w:val="0"/>
          <w:sz w:val="32"/>
          <w:szCs w:val="32"/>
          <w:u w:val="none"/>
          <w:lang w:val="en-US" w:eastAsia="zh-CN"/>
        </w:rPr>
        <w:t>每周填写自查记录</w:t>
      </w:r>
      <w:r>
        <w:rPr>
          <w:rFonts w:hint="eastAsia" w:ascii="仿宋_GB2312" w:hAnsi="仿宋_GB2312" w:eastAsia="仿宋_GB2312" w:cs="仿宋_GB2312"/>
          <w:caps w:val="0"/>
          <w:color w:val="1F1F1F"/>
          <w:spacing w:val="0"/>
          <w:sz w:val="32"/>
          <w:szCs w:val="32"/>
          <w:u w:val="none"/>
          <w:lang w:eastAsia="zh-CN"/>
        </w:rPr>
        <w:t>。</w:t>
      </w:r>
    </w:p>
    <w:p w14:paraId="2F93285E">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caps w:val="0"/>
          <w:color w:val="1F1F1F"/>
          <w:spacing w:val="0"/>
          <w:sz w:val="32"/>
          <w:szCs w:val="32"/>
          <w:u w:val="none"/>
          <w:lang w:eastAsia="zh-CN"/>
        </w:rPr>
      </w:pPr>
      <w:r>
        <w:rPr>
          <w:rFonts w:hint="eastAsia" w:ascii="仿宋_GB2312" w:hAnsi="仿宋_GB2312" w:eastAsia="仿宋_GB2312" w:cs="仿宋_GB2312"/>
          <w:caps w:val="0"/>
          <w:color w:val="1F1F1F"/>
          <w:spacing w:val="0"/>
          <w:sz w:val="32"/>
          <w:szCs w:val="32"/>
          <w:u w:val="none"/>
          <w:lang w:val="en-US" w:eastAsia="zh-CN"/>
        </w:rPr>
        <w:t>3.三级（中风险级）</w:t>
      </w:r>
      <w:r>
        <w:rPr>
          <w:rFonts w:hint="eastAsia" w:ascii="仿宋_GB2312" w:hAnsi="仿宋_GB2312" w:eastAsia="仿宋_GB2312" w:cs="仿宋_GB2312"/>
          <w:caps w:val="0"/>
          <w:color w:val="1F1F1F"/>
          <w:spacing w:val="0"/>
          <w:sz w:val="32"/>
          <w:szCs w:val="32"/>
          <w:u w:val="none"/>
        </w:rPr>
        <w:t>实验室</w:t>
      </w:r>
      <w:r>
        <w:rPr>
          <w:rFonts w:hint="eastAsia" w:ascii="仿宋_GB2312" w:hAnsi="仿宋_GB2312" w:eastAsia="仿宋_GB2312" w:cs="仿宋_GB2312"/>
          <w:caps w:val="0"/>
          <w:color w:val="1F1F1F"/>
          <w:spacing w:val="0"/>
          <w:sz w:val="32"/>
          <w:szCs w:val="32"/>
          <w:u w:val="none"/>
          <w:lang w:eastAsia="zh-CN"/>
        </w:rPr>
        <w:t>：</w:t>
      </w:r>
      <w:r>
        <w:rPr>
          <w:rFonts w:hint="eastAsia" w:ascii="仿宋_GB2312" w:hAnsi="仿宋_GB2312" w:eastAsia="仿宋_GB2312" w:cs="仿宋_GB2312"/>
          <w:caps w:val="0"/>
          <w:color w:val="1F1F1F"/>
          <w:spacing w:val="0"/>
          <w:sz w:val="32"/>
          <w:szCs w:val="32"/>
          <w:u w:val="none"/>
          <w:lang w:val="en-US" w:eastAsia="zh-CN"/>
        </w:rPr>
        <w:t>实验室与设备管理处</w:t>
      </w:r>
      <w:r>
        <w:rPr>
          <w:rFonts w:hint="eastAsia" w:ascii="仿宋_GB2312" w:hAnsi="仿宋_GB2312" w:eastAsia="仿宋_GB2312" w:cs="仿宋_GB2312"/>
          <w:caps w:val="0"/>
          <w:color w:val="1F1F1F"/>
          <w:spacing w:val="0"/>
          <w:sz w:val="32"/>
          <w:szCs w:val="32"/>
          <w:u w:val="none"/>
        </w:rPr>
        <w:t>每半年开展不少于1次安全检查；二级单位每季度开展不少于1次安全检查；实验室做到经常性检查</w:t>
      </w:r>
      <w:r>
        <w:rPr>
          <w:rFonts w:hint="eastAsia" w:ascii="仿宋_GB2312" w:hAnsi="仿宋_GB2312" w:eastAsia="仿宋_GB2312" w:cs="仿宋_GB2312"/>
          <w:caps w:val="0"/>
          <w:color w:val="1F1F1F"/>
          <w:spacing w:val="0"/>
          <w:sz w:val="32"/>
          <w:szCs w:val="32"/>
          <w:u w:val="none"/>
          <w:lang w:eastAsia="zh-CN"/>
        </w:rPr>
        <w:t>，</w:t>
      </w:r>
      <w:r>
        <w:rPr>
          <w:rFonts w:hint="eastAsia" w:ascii="仿宋_GB2312" w:hAnsi="仿宋_GB2312" w:eastAsia="仿宋_GB2312" w:cs="仿宋_GB2312"/>
          <w:caps w:val="0"/>
          <w:color w:val="1F1F1F"/>
          <w:spacing w:val="0"/>
          <w:sz w:val="32"/>
          <w:szCs w:val="32"/>
          <w:u w:val="none"/>
          <w:lang w:val="en-US" w:eastAsia="zh-CN"/>
        </w:rPr>
        <w:t>每周填写自查记录</w:t>
      </w:r>
      <w:r>
        <w:rPr>
          <w:rFonts w:hint="eastAsia" w:ascii="仿宋_GB2312" w:hAnsi="仿宋_GB2312" w:eastAsia="仿宋_GB2312" w:cs="仿宋_GB2312"/>
          <w:caps w:val="0"/>
          <w:color w:val="1F1F1F"/>
          <w:spacing w:val="0"/>
          <w:sz w:val="32"/>
          <w:szCs w:val="32"/>
          <w:u w:val="none"/>
          <w:lang w:eastAsia="zh-CN"/>
        </w:rPr>
        <w:t>。</w:t>
      </w:r>
    </w:p>
    <w:p w14:paraId="70A3994C">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仿宋" w:hAnsi="仿宋" w:eastAsia="仿宋" w:cs="仿宋"/>
          <w:caps w:val="0"/>
          <w:color w:val="1F1F1F"/>
          <w:spacing w:val="0"/>
          <w:sz w:val="32"/>
          <w:szCs w:val="32"/>
          <w:u w:val="none"/>
          <w:lang w:val="en-US" w:eastAsia="zh-CN"/>
        </w:rPr>
      </w:pPr>
      <w:r>
        <w:rPr>
          <w:rFonts w:hint="eastAsia" w:ascii="仿宋_GB2312" w:hAnsi="仿宋_GB2312" w:eastAsia="仿宋_GB2312" w:cs="仿宋_GB2312"/>
          <w:caps w:val="0"/>
          <w:color w:val="1F1F1F"/>
          <w:spacing w:val="0"/>
          <w:sz w:val="32"/>
          <w:szCs w:val="32"/>
          <w:u w:val="none"/>
        </w:rPr>
        <w:t>4</w:t>
      </w:r>
      <w:r>
        <w:rPr>
          <w:rFonts w:hint="eastAsia" w:ascii="仿宋_GB2312" w:hAnsi="仿宋_GB2312" w:eastAsia="仿宋_GB2312" w:cs="仿宋_GB2312"/>
          <w:caps w:val="0"/>
          <w:color w:val="1F1F1F"/>
          <w:spacing w:val="0"/>
          <w:sz w:val="32"/>
          <w:szCs w:val="32"/>
          <w:u w:val="none"/>
          <w:lang w:val="en-US" w:eastAsia="zh-CN"/>
        </w:rPr>
        <w:t>.</w:t>
      </w:r>
      <w:r>
        <w:rPr>
          <w:rStyle w:val="16"/>
          <w:rFonts w:hint="eastAsia" w:ascii="仿宋_GB2312" w:hAnsi="仿宋_GB2312" w:eastAsia="仿宋_GB2312" w:cs="仿宋_GB2312"/>
          <w:b w:val="0"/>
          <w:bCs/>
          <w:caps w:val="0"/>
          <w:color w:val="1F1F1F"/>
          <w:spacing w:val="0"/>
          <w:kern w:val="0"/>
          <w:sz w:val="32"/>
          <w:szCs w:val="32"/>
          <w:u w:val="none"/>
          <w:lang w:val="en-US" w:eastAsia="zh-CN" w:bidi="ar"/>
        </w:rPr>
        <w:t>四级（低风险级）</w:t>
      </w:r>
      <w:r>
        <w:rPr>
          <w:rFonts w:hint="eastAsia" w:ascii="仿宋_GB2312" w:hAnsi="仿宋_GB2312" w:eastAsia="仿宋_GB2312" w:cs="仿宋_GB2312"/>
          <w:caps w:val="0"/>
          <w:color w:val="1F1F1F"/>
          <w:spacing w:val="0"/>
          <w:sz w:val="32"/>
          <w:szCs w:val="32"/>
          <w:u w:val="none"/>
        </w:rPr>
        <w:t>实验室</w:t>
      </w:r>
      <w:r>
        <w:rPr>
          <w:rFonts w:hint="eastAsia" w:ascii="仿宋_GB2312" w:hAnsi="仿宋_GB2312" w:eastAsia="仿宋_GB2312" w:cs="仿宋_GB2312"/>
          <w:caps w:val="0"/>
          <w:color w:val="1F1F1F"/>
          <w:spacing w:val="0"/>
          <w:sz w:val="32"/>
          <w:szCs w:val="32"/>
          <w:u w:val="none"/>
          <w:lang w:eastAsia="zh-CN"/>
        </w:rPr>
        <w:t>：</w:t>
      </w:r>
      <w:r>
        <w:rPr>
          <w:rFonts w:hint="eastAsia" w:ascii="仿宋_GB2312" w:hAnsi="仿宋_GB2312" w:eastAsia="仿宋_GB2312" w:cs="仿宋_GB2312"/>
          <w:caps w:val="0"/>
          <w:color w:val="1F1F1F"/>
          <w:spacing w:val="0"/>
          <w:sz w:val="32"/>
          <w:szCs w:val="32"/>
          <w:u w:val="none"/>
          <w:lang w:val="en-US" w:eastAsia="zh-CN"/>
        </w:rPr>
        <w:t>实验室与设备管理处每年开展不少于1次安全检查；二级单位每半年开展不少于1次安全检查；实验室做到经常性检查，每周填写自查记录</w:t>
      </w:r>
      <w:r>
        <w:rPr>
          <w:rFonts w:hint="eastAsia" w:ascii="仿宋_GB2312" w:hAnsi="仿宋_GB2312" w:eastAsia="仿宋_GB2312" w:cs="仿宋_GB2312"/>
          <w:caps w:val="0"/>
          <w:color w:val="1F1F1F"/>
          <w:spacing w:val="0"/>
          <w:sz w:val="32"/>
          <w:szCs w:val="32"/>
          <w:u w:val="none"/>
          <w:lang w:eastAsia="zh-CN"/>
        </w:rPr>
        <w:t>。</w:t>
      </w:r>
    </w:p>
    <w:p w14:paraId="51F67122">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 w:hAnsi="仿宋" w:eastAsia="仿宋" w:cs="仿宋"/>
          <w:caps w:val="0"/>
          <w:color w:val="000000"/>
          <w:spacing w:val="0"/>
          <w:sz w:val="32"/>
          <w:szCs w:val="32"/>
          <w:u w:val="none"/>
        </w:rPr>
      </w:pPr>
      <w:r>
        <w:rPr>
          <w:rStyle w:val="16"/>
          <w:rFonts w:hint="eastAsia" w:ascii="黑体" w:hAnsi="黑体" w:eastAsia="黑体" w:cs="黑体"/>
          <w:b w:val="0"/>
          <w:bCs/>
          <w:caps w:val="0"/>
          <w:color w:val="1F1F1F"/>
          <w:spacing w:val="0"/>
          <w:sz w:val="32"/>
          <w:szCs w:val="32"/>
          <w:u w:val="none"/>
        </w:rPr>
        <w:t>第</w:t>
      </w:r>
      <w:r>
        <w:rPr>
          <w:rStyle w:val="16"/>
          <w:rFonts w:hint="eastAsia" w:ascii="黑体" w:hAnsi="黑体" w:eastAsia="黑体" w:cs="黑体"/>
          <w:b w:val="0"/>
          <w:bCs/>
          <w:caps w:val="0"/>
          <w:color w:val="1F1F1F"/>
          <w:spacing w:val="0"/>
          <w:sz w:val="32"/>
          <w:szCs w:val="32"/>
          <w:u w:val="none"/>
          <w:lang w:val="en-US" w:eastAsia="zh-CN"/>
        </w:rPr>
        <w:t>十五</w:t>
      </w:r>
      <w:r>
        <w:rPr>
          <w:rStyle w:val="16"/>
          <w:rFonts w:hint="eastAsia" w:ascii="黑体" w:hAnsi="黑体" w:eastAsia="黑体" w:cs="黑体"/>
          <w:b w:val="0"/>
          <w:bCs/>
          <w:caps w:val="0"/>
          <w:color w:val="1F1F1F"/>
          <w:spacing w:val="0"/>
          <w:sz w:val="32"/>
          <w:szCs w:val="32"/>
          <w:u w:val="none"/>
        </w:rPr>
        <w:t>条</w:t>
      </w:r>
      <w:r>
        <w:rPr>
          <w:rStyle w:val="16"/>
          <w:rFonts w:hint="eastAsia" w:ascii="仿宋" w:hAnsi="仿宋" w:eastAsia="仿宋" w:cs="仿宋"/>
          <w:caps w:val="0"/>
          <w:color w:val="1F1F1F"/>
          <w:spacing w:val="0"/>
          <w:sz w:val="32"/>
          <w:szCs w:val="32"/>
          <w:u w:val="none"/>
        </w:rPr>
        <w:t xml:space="preserve"> </w:t>
      </w:r>
      <w:r>
        <w:rPr>
          <w:rStyle w:val="16"/>
          <w:rFonts w:hint="eastAsia" w:ascii="仿宋" w:hAnsi="仿宋" w:eastAsia="仿宋" w:cs="仿宋"/>
          <w:caps w:val="0"/>
          <w:color w:val="1F1F1F"/>
          <w:spacing w:val="0"/>
          <w:sz w:val="32"/>
          <w:szCs w:val="32"/>
          <w:u w:val="none"/>
          <w:lang w:val="en-US" w:eastAsia="zh-CN"/>
        </w:rPr>
        <w:t xml:space="preserve"> </w:t>
      </w:r>
      <w:r>
        <w:rPr>
          <w:rFonts w:hint="eastAsia" w:ascii="仿宋_GB2312" w:hAnsi="仿宋_GB2312" w:eastAsia="仿宋_GB2312" w:cs="仿宋_GB2312"/>
          <w:caps w:val="0"/>
          <w:color w:val="1F1F1F"/>
          <w:spacing w:val="0"/>
          <w:sz w:val="32"/>
          <w:szCs w:val="32"/>
          <w:u w:val="none"/>
        </w:rPr>
        <w:t>实验室</w:t>
      </w:r>
      <w:r>
        <w:rPr>
          <w:rFonts w:hint="eastAsia" w:ascii="仿宋_GB2312" w:hAnsi="仿宋_GB2312" w:eastAsia="仿宋_GB2312" w:cs="仿宋_GB2312"/>
          <w:caps w:val="0"/>
          <w:color w:val="1F1F1F"/>
          <w:spacing w:val="0"/>
          <w:sz w:val="32"/>
          <w:szCs w:val="32"/>
          <w:u w:val="none"/>
          <w:lang w:val="en-US" w:eastAsia="zh-CN"/>
        </w:rPr>
        <w:t>负责</w:t>
      </w:r>
      <w:r>
        <w:rPr>
          <w:rFonts w:hint="eastAsia" w:ascii="仿宋_GB2312" w:hAnsi="仿宋_GB2312" w:eastAsia="仿宋_GB2312" w:cs="仿宋_GB2312"/>
          <w:caps w:val="0"/>
          <w:color w:val="1F1F1F"/>
          <w:spacing w:val="0"/>
          <w:sz w:val="32"/>
          <w:szCs w:val="32"/>
          <w:u w:val="none"/>
        </w:rPr>
        <w:t>人负责实施实验室安全检查与安全管理</w:t>
      </w:r>
      <w:r>
        <w:rPr>
          <w:rFonts w:hint="eastAsia" w:ascii="仿宋_GB2312" w:hAnsi="仿宋_GB2312" w:eastAsia="仿宋_GB2312" w:cs="仿宋_GB2312"/>
          <w:caps w:val="0"/>
          <w:color w:val="1F1F1F"/>
          <w:spacing w:val="0"/>
          <w:sz w:val="32"/>
          <w:szCs w:val="32"/>
          <w:u w:val="none"/>
          <w:lang w:eastAsia="zh-CN"/>
        </w:rPr>
        <w:t>；</w:t>
      </w:r>
      <w:r>
        <w:rPr>
          <w:rFonts w:hint="eastAsia" w:ascii="仿宋_GB2312" w:hAnsi="仿宋_GB2312" w:eastAsia="仿宋_GB2312" w:cs="仿宋_GB2312"/>
          <w:caps w:val="0"/>
          <w:color w:val="1F1F1F"/>
          <w:spacing w:val="0"/>
          <w:sz w:val="32"/>
          <w:szCs w:val="32"/>
          <w:u w:val="none"/>
          <w:lang w:val="en-US" w:eastAsia="zh-CN"/>
        </w:rPr>
        <w:t>二级单位分</w:t>
      </w:r>
      <w:r>
        <w:rPr>
          <w:rFonts w:hint="eastAsia" w:ascii="仿宋_GB2312" w:hAnsi="仿宋_GB2312" w:eastAsia="仿宋_GB2312" w:cs="仿宋_GB2312"/>
          <w:caps w:val="0"/>
          <w:color w:val="1F1F1F"/>
          <w:spacing w:val="0"/>
          <w:sz w:val="32"/>
          <w:szCs w:val="32"/>
          <w:u w:val="none"/>
        </w:rPr>
        <w:t>管</w:t>
      </w:r>
      <w:r>
        <w:rPr>
          <w:rFonts w:hint="eastAsia" w:ascii="仿宋_GB2312" w:hAnsi="仿宋_GB2312" w:eastAsia="仿宋_GB2312" w:cs="仿宋_GB2312"/>
          <w:caps w:val="0"/>
          <w:color w:val="1F1F1F"/>
          <w:spacing w:val="0"/>
          <w:sz w:val="32"/>
          <w:szCs w:val="32"/>
          <w:u w:val="none"/>
          <w:lang w:val="en-US" w:eastAsia="zh-CN"/>
        </w:rPr>
        <w:t>实验室安全负责人</w:t>
      </w:r>
      <w:r>
        <w:rPr>
          <w:rFonts w:hint="eastAsia" w:ascii="仿宋_GB2312" w:hAnsi="仿宋_GB2312" w:eastAsia="仿宋_GB2312" w:cs="仿宋_GB2312"/>
          <w:caps w:val="0"/>
          <w:color w:val="1F1F1F"/>
          <w:spacing w:val="0"/>
          <w:sz w:val="32"/>
          <w:szCs w:val="32"/>
          <w:u w:val="none"/>
        </w:rPr>
        <w:t>负责实施</w:t>
      </w:r>
      <w:r>
        <w:rPr>
          <w:rFonts w:hint="eastAsia" w:ascii="仿宋_GB2312" w:hAnsi="仿宋_GB2312" w:eastAsia="仿宋_GB2312" w:cs="仿宋_GB2312"/>
          <w:caps w:val="0"/>
          <w:color w:val="1F1F1F"/>
          <w:spacing w:val="0"/>
          <w:sz w:val="32"/>
          <w:szCs w:val="32"/>
          <w:u w:val="none"/>
          <w:lang w:val="en-US" w:eastAsia="zh-CN"/>
        </w:rPr>
        <w:t>本单位</w:t>
      </w:r>
      <w:r>
        <w:rPr>
          <w:rFonts w:hint="eastAsia" w:ascii="仿宋_GB2312" w:hAnsi="仿宋_GB2312" w:eastAsia="仿宋_GB2312" w:cs="仿宋_GB2312"/>
          <w:caps w:val="0"/>
          <w:color w:val="1F1F1F"/>
          <w:spacing w:val="0"/>
          <w:sz w:val="32"/>
          <w:szCs w:val="32"/>
          <w:u w:val="none"/>
        </w:rPr>
        <w:t>安全检查与安全管理</w:t>
      </w:r>
      <w:r>
        <w:rPr>
          <w:rFonts w:hint="eastAsia" w:ascii="仿宋_GB2312" w:hAnsi="仿宋_GB2312" w:eastAsia="仿宋_GB2312" w:cs="仿宋_GB2312"/>
          <w:caps w:val="0"/>
          <w:color w:val="1F1F1F"/>
          <w:spacing w:val="0"/>
          <w:sz w:val="32"/>
          <w:szCs w:val="32"/>
          <w:u w:val="none"/>
          <w:lang w:eastAsia="zh-CN"/>
        </w:rPr>
        <w:t>；</w:t>
      </w:r>
      <w:r>
        <w:rPr>
          <w:rFonts w:hint="eastAsia" w:ascii="仿宋_GB2312" w:hAnsi="仿宋_GB2312" w:eastAsia="仿宋_GB2312" w:cs="仿宋_GB2312"/>
          <w:caps w:val="0"/>
          <w:color w:val="1F1F1F"/>
          <w:spacing w:val="0"/>
          <w:sz w:val="32"/>
          <w:szCs w:val="32"/>
          <w:u w:val="none"/>
          <w:lang w:val="en-US" w:eastAsia="zh-CN"/>
        </w:rPr>
        <w:t>实验室</w:t>
      </w:r>
      <w:r>
        <w:rPr>
          <w:rFonts w:hint="eastAsia" w:ascii="仿宋_GB2312" w:hAnsi="仿宋_GB2312" w:eastAsia="仿宋_GB2312" w:cs="仿宋_GB2312"/>
          <w:caps w:val="0"/>
          <w:color w:val="1F1F1F"/>
          <w:spacing w:val="0"/>
          <w:sz w:val="32"/>
          <w:szCs w:val="32"/>
          <w:u w:val="none"/>
        </w:rPr>
        <w:t>与</w:t>
      </w:r>
      <w:r>
        <w:rPr>
          <w:rFonts w:hint="eastAsia" w:ascii="仿宋_GB2312" w:hAnsi="仿宋_GB2312" w:eastAsia="仿宋_GB2312" w:cs="仿宋_GB2312"/>
          <w:caps w:val="0"/>
          <w:color w:val="1F1F1F"/>
          <w:spacing w:val="0"/>
          <w:sz w:val="32"/>
          <w:szCs w:val="32"/>
          <w:u w:val="none"/>
          <w:lang w:val="en-US" w:eastAsia="zh-CN"/>
        </w:rPr>
        <w:t>设备</w:t>
      </w:r>
      <w:r>
        <w:rPr>
          <w:rFonts w:hint="eastAsia" w:ascii="仿宋_GB2312" w:hAnsi="仿宋_GB2312" w:eastAsia="仿宋_GB2312" w:cs="仿宋_GB2312"/>
          <w:caps w:val="0"/>
          <w:color w:val="1F1F1F"/>
          <w:spacing w:val="0"/>
          <w:sz w:val="32"/>
          <w:szCs w:val="32"/>
          <w:u w:val="none"/>
        </w:rPr>
        <w:t>管理处负责组织专家组或督查组实施学校</w:t>
      </w:r>
      <w:r>
        <w:rPr>
          <w:rFonts w:hint="eastAsia" w:ascii="仿宋_GB2312" w:hAnsi="仿宋_GB2312" w:eastAsia="仿宋_GB2312" w:cs="仿宋_GB2312"/>
          <w:caps w:val="0"/>
          <w:color w:val="1F1F1F"/>
          <w:spacing w:val="0"/>
          <w:sz w:val="32"/>
          <w:szCs w:val="32"/>
          <w:u w:val="none"/>
          <w:lang w:val="en-US" w:eastAsia="zh-CN"/>
        </w:rPr>
        <w:t>实验室</w:t>
      </w:r>
      <w:r>
        <w:rPr>
          <w:rFonts w:hint="eastAsia" w:ascii="仿宋_GB2312" w:hAnsi="仿宋_GB2312" w:eastAsia="仿宋_GB2312" w:cs="仿宋_GB2312"/>
          <w:caps w:val="0"/>
          <w:color w:val="1F1F1F"/>
          <w:spacing w:val="0"/>
          <w:sz w:val="32"/>
          <w:szCs w:val="32"/>
          <w:u w:val="none"/>
        </w:rPr>
        <w:t>安全巡查与监督管理。</w:t>
      </w:r>
    </w:p>
    <w:p w14:paraId="0D315733">
      <w:pPr>
        <w:pStyle w:val="11"/>
        <w:keepNext w:val="0"/>
        <w:keepLines w:val="0"/>
        <w:pageBreakBefore w:val="0"/>
        <w:shd w:val="clear" w:color="auto" w:fill="FFFFFF"/>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caps w:val="0"/>
          <w:color w:val="1F1F1F"/>
          <w:spacing w:val="0"/>
          <w:sz w:val="32"/>
          <w:szCs w:val="32"/>
          <w:u w:val="none"/>
          <w:lang w:eastAsia="zh-CN"/>
        </w:rPr>
      </w:pPr>
      <w:r>
        <w:rPr>
          <w:rStyle w:val="16"/>
          <w:rFonts w:hint="eastAsia" w:ascii="黑体" w:hAnsi="黑体" w:eastAsia="黑体" w:cs="黑体"/>
          <w:b w:val="0"/>
          <w:bCs/>
          <w:caps w:val="0"/>
          <w:color w:val="1F1F1F"/>
          <w:spacing w:val="0"/>
          <w:sz w:val="32"/>
          <w:szCs w:val="32"/>
          <w:u w:val="none"/>
        </w:rPr>
        <w:t>第</w:t>
      </w:r>
      <w:r>
        <w:rPr>
          <w:rStyle w:val="16"/>
          <w:rFonts w:hint="eastAsia" w:ascii="黑体" w:hAnsi="黑体" w:eastAsia="黑体" w:cs="黑体"/>
          <w:b w:val="0"/>
          <w:bCs/>
          <w:caps w:val="0"/>
          <w:color w:val="1F1F1F"/>
          <w:spacing w:val="0"/>
          <w:sz w:val="32"/>
          <w:szCs w:val="32"/>
          <w:u w:val="none"/>
          <w:lang w:val="en-US" w:eastAsia="zh-CN"/>
        </w:rPr>
        <w:t>十六</w:t>
      </w:r>
      <w:r>
        <w:rPr>
          <w:rStyle w:val="16"/>
          <w:rFonts w:hint="eastAsia" w:ascii="黑体" w:hAnsi="黑体" w:eastAsia="黑体" w:cs="黑体"/>
          <w:b w:val="0"/>
          <w:bCs/>
          <w:caps w:val="0"/>
          <w:color w:val="1F1F1F"/>
          <w:spacing w:val="0"/>
          <w:sz w:val="32"/>
          <w:szCs w:val="32"/>
          <w:u w:val="none"/>
        </w:rPr>
        <w:t>条</w:t>
      </w:r>
      <w:r>
        <w:rPr>
          <w:rStyle w:val="16"/>
          <w:rFonts w:hint="eastAsia" w:ascii="仿宋" w:hAnsi="仿宋" w:eastAsia="仿宋" w:cs="仿宋"/>
          <w:caps w:val="0"/>
          <w:color w:val="1F1F1F"/>
          <w:spacing w:val="0"/>
          <w:sz w:val="32"/>
          <w:szCs w:val="32"/>
          <w:u w:val="none"/>
        </w:rPr>
        <w:t xml:space="preserve"> </w:t>
      </w:r>
      <w:r>
        <w:rPr>
          <w:rStyle w:val="16"/>
          <w:rFonts w:hint="eastAsia" w:ascii="仿宋" w:hAnsi="仿宋" w:eastAsia="仿宋" w:cs="仿宋"/>
          <w:caps w:val="0"/>
          <w:color w:val="1F1F1F"/>
          <w:spacing w:val="0"/>
          <w:sz w:val="32"/>
          <w:szCs w:val="32"/>
          <w:u w:val="none"/>
          <w:lang w:val="en-US" w:eastAsia="zh-CN"/>
        </w:rPr>
        <w:t xml:space="preserve"> </w:t>
      </w:r>
      <w:r>
        <w:rPr>
          <w:rFonts w:hint="eastAsia" w:ascii="仿宋_GB2312" w:hAnsi="仿宋_GB2312" w:eastAsia="仿宋_GB2312" w:cs="仿宋_GB2312"/>
          <w:caps w:val="0"/>
          <w:color w:val="1F1F1F"/>
          <w:spacing w:val="0"/>
          <w:sz w:val="32"/>
          <w:szCs w:val="32"/>
          <w:u w:val="none"/>
        </w:rPr>
        <w:t>检查须</w:t>
      </w:r>
      <w:r>
        <w:rPr>
          <w:rFonts w:hint="eastAsia" w:ascii="仿宋_GB2312" w:hAnsi="仿宋_GB2312" w:eastAsia="仿宋_GB2312" w:cs="仿宋_GB2312"/>
          <w:caps w:val="0"/>
          <w:color w:val="1F1F1F"/>
          <w:spacing w:val="0"/>
          <w:sz w:val="32"/>
          <w:szCs w:val="32"/>
          <w:u w:val="none"/>
          <w:lang w:val="en-US" w:eastAsia="zh-CN"/>
        </w:rPr>
        <w:t>依据</w:t>
      </w:r>
      <w:r>
        <w:rPr>
          <w:rFonts w:hint="eastAsia" w:ascii="仿宋_GB2312" w:hAnsi="仿宋_GB2312" w:eastAsia="仿宋_GB2312" w:cs="仿宋_GB2312"/>
          <w:sz w:val="32"/>
          <w:szCs w:val="32"/>
          <w:lang w:eastAsia="zh-CN"/>
        </w:rPr>
        <w:t>教育部《高等学校实验室安全检</w:t>
      </w:r>
      <w:r>
        <w:rPr>
          <w:rFonts w:hint="eastAsia" w:ascii="仿宋_GB2312" w:hAnsi="仿宋_GB2312" w:eastAsia="仿宋_GB2312" w:cs="仿宋_GB2312"/>
          <w:spacing w:val="-9"/>
          <w:sz w:val="32"/>
          <w:szCs w:val="32"/>
          <w:lang w:eastAsia="zh-CN"/>
        </w:rPr>
        <w:t>查项目表》</w:t>
      </w:r>
      <w:r>
        <w:rPr>
          <w:rFonts w:hint="eastAsia" w:ascii="仿宋_GB2312" w:hAnsi="仿宋_GB2312" w:eastAsia="仿宋_GB2312" w:cs="仿宋_GB2312"/>
          <w:caps w:val="0"/>
          <w:color w:val="1F1F1F"/>
          <w:spacing w:val="0"/>
          <w:sz w:val="32"/>
          <w:szCs w:val="32"/>
          <w:u w:val="none"/>
        </w:rPr>
        <w:t>要求</w:t>
      </w:r>
      <w:r>
        <w:rPr>
          <w:rFonts w:hint="eastAsia" w:ascii="仿宋_GB2312" w:hAnsi="仿宋_GB2312" w:eastAsia="仿宋_GB2312" w:cs="仿宋_GB2312"/>
          <w:caps w:val="0"/>
          <w:color w:val="1F1F1F"/>
          <w:spacing w:val="0"/>
          <w:sz w:val="32"/>
          <w:szCs w:val="32"/>
          <w:u w:val="none"/>
          <w:lang w:val="en-US" w:eastAsia="zh-CN"/>
        </w:rPr>
        <w:t>对</w:t>
      </w:r>
      <w:r>
        <w:rPr>
          <w:rFonts w:hint="eastAsia" w:ascii="仿宋_GB2312" w:hAnsi="仿宋_GB2312" w:eastAsia="仿宋_GB2312" w:cs="仿宋_GB2312"/>
          <w:caps w:val="0"/>
          <w:color w:val="1F1F1F"/>
          <w:spacing w:val="0"/>
          <w:sz w:val="32"/>
          <w:szCs w:val="32"/>
          <w:u w:val="none"/>
        </w:rPr>
        <w:t>检查要点做好隐患排查，</w:t>
      </w:r>
      <w:r>
        <w:rPr>
          <w:rFonts w:hint="eastAsia" w:ascii="仿宋_GB2312" w:hAnsi="仿宋_GB2312" w:eastAsia="仿宋_GB2312" w:cs="仿宋_GB2312"/>
          <w:caps w:val="0"/>
          <w:color w:val="1F1F1F"/>
          <w:spacing w:val="0"/>
          <w:sz w:val="32"/>
          <w:szCs w:val="32"/>
          <w:u w:val="none"/>
          <w:lang w:val="en-US" w:eastAsia="zh-CN"/>
        </w:rPr>
        <w:t>并</w:t>
      </w:r>
      <w:r>
        <w:rPr>
          <w:rFonts w:hint="eastAsia" w:ascii="仿宋_GB2312" w:hAnsi="仿宋_GB2312" w:eastAsia="仿宋_GB2312" w:cs="仿宋_GB2312"/>
          <w:caps w:val="0"/>
          <w:color w:val="1F1F1F"/>
          <w:spacing w:val="0"/>
          <w:sz w:val="32"/>
          <w:szCs w:val="32"/>
          <w:u w:val="none"/>
        </w:rPr>
        <w:t>建立安全隐患台账，逐项整改。能够立查立改的，要立即整改到位；对短期无法整改的要制定切实可行的整改方案，明确整改措施、整改期限和整改负责人；对整改不力者在全校进行通报。</w:t>
      </w:r>
      <w:r>
        <w:rPr>
          <w:rFonts w:hint="eastAsia" w:ascii="仿宋_GB2312" w:hAnsi="仿宋_GB2312" w:eastAsia="仿宋_GB2312" w:cs="仿宋_GB2312"/>
          <w:caps w:val="0"/>
          <w:color w:val="1F1F1F"/>
          <w:spacing w:val="0"/>
          <w:sz w:val="32"/>
          <w:szCs w:val="32"/>
          <w:u w:val="none"/>
          <w:lang w:val="en-US" w:eastAsia="zh-CN"/>
        </w:rPr>
        <w:t>在重大隐患未完成整改前，不得在实验室中进行实验活动。</w:t>
      </w:r>
    </w:p>
    <w:p w14:paraId="59AB8B4C">
      <w:pPr>
        <w:pStyle w:val="11"/>
        <w:keepNext w:val="0"/>
        <w:keepLines w:val="0"/>
        <w:pageBreakBefore w:val="0"/>
        <w:shd w:val="clear" w:color="auto" w:fill="FFFFFF"/>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仿宋" w:hAnsi="仿宋" w:eastAsia="仿宋" w:cs="仿宋"/>
          <w:sz w:val="32"/>
          <w:szCs w:val="32"/>
          <w:lang w:eastAsia="zh-CN"/>
        </w:rPr>
      </w:pPr>
      <w:r>
        <w:rPr>
          <w:rStyle w:val="16"/>
          <w:rFonts w:hint="eastAsia" w:ascii="黑体" w:hAnsi="黑体" w:eastAsia="黑体" w:cs="黑体"/>
          <w:b w:val="0"/>
          <w:bCs/>
          <w:caps w:val="0"/>
          <w:color w:val="1F1F1F"/>
          <w:spacing w:val="0"/>
          <w:sz w:val="32"/>
          <w:szCs w:val="32"/>
          <w:u w:val="none"/>
        </w:rPr>
        <w:t>第</w:t>
      </w:r>
      <w:r>
        <w:rPr>
          <w:rStyle w:val="16"/>
          <w:rFonts w:hint="eastAsia" w:ascii="黑体" w:hAnsi="黑体" w:eastAsia="黑体" w:cs="黑体"/>
          <w:b w:val="0"/>
          <w:bCs/>
          <w:caps w:val="0"/>
          <w:color w:val="1F1F1F"/>
          <w:spacing w:val="0"/>
          <w:sz w:val="32"/>
          <w:szCs w:val="32"/>
          <w:u w:val="none"/>
          <w:lang w:val="en-US" w:eastAsia="zh-CN"/>
        </w:rPr>
        <w:t>十七</w:t>
      </w:r>
      <w:r>
        <w:rPr>
          <w:rStyle w:val="16"/>
          <w:rFonts w:hint="eastAsia" w:ascii="黑体" w:hAnsi="黑体" w:eastAsia="黑体" w:cs="黑体"/>
          <w:b w:val="0"/>
          <w:bCs/>
          <w:caps w:val="0"/>
          <w:color w:val="1F1F1F"/>
          <w:spacing w:val="0"/>
          <w:sz w:val="32"/>
          <w:szCs w:val="32"/>
          <w:u w:val="none"/>
        </w:rPr>
        <w:t>条</w:t>
      </w:r>
      <w:r>
        <w:rPr>
          <w:rStyle w:val="16"/>
          <w:rFonts w:hint="eastAsia" w:ascii="仿宋" w:hAnsi="仿宋" w:eastAsia="仿宋" w:cs="仿宋"/>
          <w:caps w:val="0"/>
          <w:color w:val="1F1F1F"/>
          <w:spacing w:val="0"/>
          <w:sz w:val="32"/>
          <w:szCs w:val="32"/>
          <w:u w:val="none"/>
        </w:rPr>
        <w:t xml:space="preserve"> </w:t>
      </w:r>
      <w:r>
        <w:rPr>
          <w:rStyle w:val="16"/>
          <w:rFonts w:hint="eastAsia" w:ascii="仿宋" w:hAnsi="仿宋" w:eastAsia="仿宋" w:cs="仿宋"/>
          <w:caps w:val="0"/>
          <w:color w:val="1F1F1F"/>
          <w:spacing w:val="0"/>
          <w:sz w:val="32"/>
          <w:szCs w:val="32"/>
          <w:u w:val="none"/>
          <w:lang w:val="en-US" w:eastAsia="zh-CN"/>
        </w:rPr>
        <w:t xml:space="preserve"> </w:t>
      </w:r>
      <w:r>
        <w:rPr>
          <w:rFonts w:hint="eastAsia" w:ascii="仿宋_GB2312" w:hAnsi="仿宋_GB2312" w:eastAsia="仿宋_GB2312" w:cs="仿宋_GB2312"/>
          <w:sz w:val="32"/>
          <w:szCs w:val="32"/>
        </w:rPr>
        <w:t>安全等级为</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级</w:t>
      </w:r>
      <w:r>
        <w:rPr>
          <w:rFonts w:hint="eastAsia" w:ascii="仿宋_GB2312" w:hAnsi="仿宋_GB2312" w:eastAsia="仿宋_GB2312" w:cs="仿宋_GB2312"/>
          <w:caps w:val="0"/>
          <w:color w:val="1F1F1F"/>
          <w:spacing w:val="0"/>
          <w:sz w:val="32"/>
          <w:szCs w:val="32"/>
          <w:u w:val="none"/>
          <w:lang w:eastAsia="zh-CN"/>
        </w:rPr>
        <w:t>（</w:t>
      </w:r>
      <w:r>
        <w:rPr>
          <w:rFonts w:hint="eastAsia" w:ascii="仿宋_GB2312" w:hAnsi="仿宋_GB2312" w:eastAsia="仿宋_GB2312" w:cs="仿宋_GB2312"/>
          <w:sz w:val="32"/>
          <w:szCs w:val="32"/>
        </w:rPr>
        <w:t>重大风险</w:t>
      </w:r>
      <w:r>
        <w:rPr>
          <w:rFonts w:hint="eastAsia" w:ascii="仿宋_GB2312" w:hAnsi="仿宋_GB2312" w:eastAsia="仿宋_GB2312" w:cs="仿宋_GB2312"/>
          <w:sz w:val="32"/>
          <w:szCs w:val="32"/>
          <w:lang w:eastAsia="zh-CN"/>
        </w:rPr>
        <w:t>级）的实验室，二级单位要重点监管并及时报实验室与设备管理处备案，实验室与设备管理处将汇总并报送</w:t>
      </w:r>
      <w:r>
        <w:rPr>
          <w:rFonts w:hint="eastAsia" w:ascii="仿宋_GB2312" w:hAnsi="仿宋_GB2312" w:eastAsia="仿宋_GB2312" w:cs="仿宋_GB2312"/>
          <w:sz w:val="32"/>
          <w:szCs w:val="32"/>
          <w:lang w:val="en-US" w:eastAsia="zh-CN"/>
        </w:rPr>
        <w:t>福建省教育厅</w:t>
      </w:r>
      <w:r>
        <w:rPr>
          <w:rFonts w:hint="eastAsia" w:ascii="仿宋_GB2312" w:hAnsi="仿宋_GB2312" w:eastAsia="仿宋_GB2312" w:cs="仿宋_GB2312"/>
          <w:sz w:val="32"/>
          <w:szCs w:val="32"/>
          <w:lang w:eastAsia="zh-CN"/>
        </w:rPr>
        <w:t>备案，以加强监管。</w:t>
      </w:r>
    </w:p>
    <w:p w14:paraId="6DE2E73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40" w:lineRule="exact"/>
        <w:jc w:val="center"/>
        <w:textAlignment w:val="auto"/>
        <w:outlineLvl w:val="1"/>
        <w:rPr>
          <w:rFonts w:hint="eastAsia" w:ascii="黑体" w:hAnsi="黑体" w:eastAsia="黑体" w:cs="黑体"/>
          <w:b w:val="0"/>
          <w:bCs w:val="0"/>
          <w:caps w:val="0"/>
          <w:color w:val="000000"/>
          <w:spacing w:val="0"/>
          <w:sz w:val="32"/>
          <w:szCs w:val="32"/>
          <w:u w:val="none"/>
        </w:rPr>
      </w:pPr>
    </w:p>
    <w:p w14:paraId="29EFADF4">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0" w:afterAutospacing="0" w:line="540" w:lineRule="exact"/>
        <w:jc w:val="center"/>
        <w:textAlignment w:val="auto"/>
        <w:outlineLvl w:val="1"/>
        <w:rPr>
          <w:rFonts w:hint="eastAsia" w:ascii="黑体" w:hAnsi="黑体" w:eastAsia="黑体" w:cs="黑体"/>
          <w:b w:val="0"/>
          <w:bCs w:val="0"/>
          <w:caps w:val="0"/>
          <w:color w:val="000000"/>
          <w:spacing w:val="0"/>
          <w:sz w:val="32"/>
          <w:szCs w:val="32"/>
          <w:u w:val="none"/>
        </w:rPr>
      </w:pPr>
      <w:r>
        <w:rPr>
          <w:rFonts w:hint="eastAsia" w:ascii="黑体" w:hAnsi="黑体" w:eastAsia="黑体" w:cs="黑体"/>
          <w:b w:val="0"/>
          <w:bCs w:val="0"/>
          <w:caps w:val="0"/>
          <w:color w:val="000000"/>
          <w:spacing w:val="0"/>
          <w:sz w:val="32"/>
          <w:szCs w:val="32"/>
          <w:u w:val="none"/>
          <w:lang w:val="en-US" w:eastAsia="zh-CN"/>
        </w:rPr>
        <w:t xml:space="preserve"> </w:t>
      </w:r>
      <w:r>
        <w:rPr>
          <w:rFonts w:hint="eastAsia" w:ascii="黑体" w:hAnsi="黑体" w:eastAsia="黑体" w:cs="黑体"/>
          <w:b w:val="0"/>
          <w:bCs w:val="0"/>
          <w:caps w:val="0"/>
          <w:color w:val="000000"/>
          <w:spacing w:val="0"/>
          <w:sz w:val="32"/>
          <w:szCs w:val="32"/>
          <w:u w:val="none"/>
        </w:rPr>
        <w:t xml:space="preserve">附 </w:t>
      </w:r>
      <w:r>
        <w:rPr>
          <w:rFonts w:hint="eastAsia" w:ascii="黑体" w:hAnsi="黑体" w:eastAsia="黑体" w:cs="黑体"/>
          <w:b w:val="0"/>
          <w:bCs w:val="0"/>
          <w:caps w:val="0"/>
          <w:color w:val="000000"/>
          <w:spacing w:val="0"/>
          <w:sz w:val="32"/>
          <w:szCs w:val="32"/>
          <w:u w:val="none"/>
          <w:lang w:val="en-US" w:eastAsia="zh-CN"/>
        </w:rPr>
        <w:t xml:space="preserve"> </w:t>
      </w:r>
      <w:r>
        <w:rPr>
          <w:rFonts w:hint="eastAsia" w:ascii="黑体" w:hAnsi="黑体" w:eastAsia="黑体" w:cs="黑体"/>
          <w:b w:val="0"/>
          <w:bCs w:val="0"/>
          <w:caps w:val="0"/>
          <w:color w:val="000000"/>
          <w:spacing w:val="0"/>
          <w:sz w:val="32"/>
          <w:szCs w:val="32"/>
          <w:u w:val="none"/>
        </w:rPr>
        <w:t>则</w:t>
      </w:r>
    </w:p>
    <w:p w14:paraId="551B95A5">
      <w:pPr>
        <w:numPr>
          <w:ilvl w:val="0"/>
          <w:numId w:val="0"/>
        </w:numPr>
        <w:rPr>
          <w:rFonts w:hint="eastAsia"/>
          <w:sz w:val="32"/>
          <w:szCs w:val="32"/>
        </w:rPr>
      </w:pPr>
    </w:p>
    <w:p w14:paraId="148A2F33">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Style w:val="16"/>
          <w:rFonts w:hint="eastAsia" w:ascii="仿宋_GB2312" w:hAnsi="仿宋_GB2312" w:eastAsia="仿宋_GB2312" w:cs="仿宋_GB2312"/>
          <w:caps w:val="0"/>
          <w:color w:val="1F1F1F"/>
          <w:spacing w:val="0"/>
          <w:sz w:val="32"/>
          <w:szCs w:val="32"/>
          <w:u w:val="none"/>
          <w:lang w:val="en-US" w:eastAsia="zh-CN"/>
        </w:rPr>
      </w:pPr>
      <w:r>
        <w:rPr>
          <w:rStyle w:val="16"/>
          <w:rFonts w:hint="eastAsia" w:ascii="黑体" w:hAnsi="黑体" w:eastAsia="黑体" w:cs="黑体"/>
          <w:b w:val="0"/>
          <w:bCs/>
          <w:caps w:val="0"/>
          <w:color w:val="1F1F1F"/>
          <w:spacing w:val="0"/>
          <w:sz w:val="32"/>
          <w:szCs w:val="32"/>
          <w:u w:val="none"/>
        </w:rPr>
        <w:t>第</w:t>
      </w:r>
      <w:r>
        <w:rPr>
          <w:rStyle w:val="16"/>
          <w:rFonts w:hint="eastAsia" w:ascii="黑体" w:hAnsi="黑体" w:eastAsia="黑体" w:cs="黑体"/>
          <w:b w:val="0"/>
          <w:bCs/>
          <w:caps w:val="0"/>
          <w:color w:val="1F1F1F"/>
          <w:spacing w:val="0"/>
          <w:sz w:val="32"/>
          <w:szCs w:val="32"/>
          <w:u w:val="none"/>
          <w:lang w:val="en-US" w:eastAsia="zh-CN"/>
        </w:rPr>
        <w:t>十八</w:t>
      </w:r>
      <w:r>
        <w:rPr>
          <w:rStyle w:val="16"/>
          <w:rFonts w:hint="eastAsia" w:ascii="黑体" w:hAnsi="黑体" w:eastAsia="黑体" w:cs="黑体"/>
          <w:b w:val="0"/>
          <w:bCs/>
          <w:caps w:val="0"/>
          <w:color w:val="1F1F1F"/>
          <w:spacing w:val="0"/>
          <w:sz w:val="32"/>
          <w:szCs w:val="32"/>
          <w:u w:val="none"/>
        </w:rPr>
        <w:t>条</w:t>
      </w:r>
      <w:r>
        <w:rPr>
          <w:rStyle w:val="16"/>
          <w:rFonts w:hint="eastAsia" w:ascii="仿宋" w:hAnsi="仿宋" w:eastAsia="仿宋" w:cs="仿宋"/>
          <w:caps w:val="0"/>
          <w:color w:val="1F1F1F"/>
          <w:spacing w:val="0"/>
          <w:sz w:val="32"/>
          <w:szCs w:val="32"/>
          <w:u w:val="none"/>
          <w:lang w:val="en-US" w:eastAsia="zh-CN"/>
        </w:rPr>
        <w:t xml:space="preserve">  </w:t>
      </w:r>
      <w:r>
        <w:rPr>
          <w:rFonts w:hint="eastAsia" w:ascii="仿宋_GB2312" w:hAnsi="仿宋_GB2312" w:eastAsia="仿宋_GB2312" w:cs="仿宋_GB2312"/>
          <w:kern w:val="0"/>
          <w:sz w:val="32"/>
          <w:szCs w:val="32"/>
          <w:lang w:val="en-US" w:eastAsia="zh-CN" w:bidi="ar"/>
        </w:rPr>
        <w:t>二级单位未按照本办法规定实际有效地开展实验室安全分级分类管理工作，造成实验室安全事故事件的，依法依规予以追责。</w:t>
      </w:r>
    </w:p>
    <w:p w14:paraId="13809493">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Style w:val="16"/>
          <w:rFonts w:hint="eastAsia" w:ascii="仿宋_GB2312" w:hAnsi="仿宋_GB2312" w:eastAsia="仿宋_GB2312" w:cs="仿宋_GB2312"/>
          <w:caps w:val="0"/>
          <w:color w:val="1F1F1F"/>
          <w:spacing w:val="0"/>
          <w:sz w:val="32"/>
          <w:szCs w:val="32"/>
          <w:u w:val="none"/>
        </w:rPr>
      </w:pPr>
      <w:r>
        <w:rPr>
          <w:rStyle w:val="16"/>
          <w:rFonts w:hint="eastAsia" w:ascii="黑体" w:hAnsi="黑体" w:eastAsia="黑体" w:cs="黑体"/>
          <w:b w:val="0"/>
          <w:bCs/>
          <w:caps w:val="0"/>
          <w:color w:val="1F1F1F"/>
          <w:spacing w:val="0"/>
          <w:kern w:val="2"/>
          <w:sz w:val="32"/>
          <w:szCs w:val="32"/>
          <w:u w:val="none"/>
          <w:lang w:val="en-US" w:eastAsia="zh-CN" w:bidi="ar-SA"/>
        </w:rPr>
        <w:t>第十九条</w:t>
      </w:r>
      <w:r>
        <w:rPr>
          <w:rStyle w:val="16"/>
          <w:rFonts w:hint="eastAsia" w:ascii="仿宋" w:hAnsi="仿宋" w:eastAsia="仿宋" w:cs="仿宋"/>
          <w:caps w:val="0"/>
          <w:color w:val="1F1F1F"/>
          <w:spacing w:val="0"/>
          <w:sz w:val="32"/>
          <w:szCs w:val="32"/>
          <w:u w:val="none"/>
        </w:rPr>
        <w:t xml:space="preserve"> </w:t>
      </w:r>
      <w:r>
        <w:rPr>
          <w:rStyle w:val="16"/>
          <w:rFonts w:hint="eastAsia" w:ascii="仿宋" w:hAnsi="仿宋" w:eastAsia="仿宋" w:cs="仿宋"/>
          <w:caps w:val="0"/>
          <w:color w:val="1F1F1F"/>
          <w:spacing w:val="0"/>
          <w:sz w:val="32"/>
          <w:szCs w:val="32"/>
          <w:u w:val="none"/>
          <w:lang w:val="en-US" w:eastAsia="zh-CN"/>
        </w:rPr>
        <w:t xml:space="preserve"> </w:t>
      </w:r>
      <w:r>
        <w:rPr>
          <w:rFonts w:hint="eastAsia" w:ascii="仿宋_GB2312" w:hAnsi="仿宋_GB2312" w:eastAsia="仿宋_GB2312" w:cs="仿宋_GB2312"/>
          <w:caps w:val="0"/>
          <w:color w:val="1F1F1F"/>
          <w:spacing w:val="0"/>
          <w:sz w:val="32"/>
          <w:szCs w:val="32"/>
          <w:u w:val="none"/>
          <w:lang w:eastAsia="zh-CN"/>
        </w:rPr>
        <w:t>本办法未尽事宜，按照国家、福建省和学校有关规定执行。</w:t>
      </w:r>
    </w:p>
    <w:p w14:paraId="7108F87F">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 w:hAnsi="仿宋" w:eastAsia="仿宋" w:cs="仿宋"/>
          <w:caps w:val="0"/>
          <w:color w:val="1F1F1F"/>
          <w:spacing w:val="0"/>
          <w:sz w:val="32"/>
          <w:szCs w:val="32"/>
          <w:u w:val="none"/>
          <w:lang w:val="en-US" w:eastAsia="zh-CN"/>
        </w:rPr>
      </w:pPr>
      <w:r>
        <w:rPr>
          <w:rStyle w:val="16"/>
          <w:rFonts w:hint="eastAsia" w:ascii="黑体" w:hAnsi="黑体" w:eastAsia="黑体" w:cs="黑体"/>
          <w:b w:val="0"/>
          <w:bCs/>
          <w:caps w:val="0"/>
          <w:color w:val="1F1F1F"/>
          <w:spacing w:val="0"/>
          <w:kern w:val="2"/>
          <w:sz w:val="32"/>
          <w:szCs w:val="32"/>
          <w:u w:val="none"/>
          <w:lang w:val="en-US" w:eastAsia="zh-CN" w:bidi="ar-SA"/>
        </w:rPr>
        <w:t>第二十条</w:t>
      </w:r>
      <w:r>
        <w:rPr>
          <w:rStyle w:val="16"/>
          <w:rFonts w:hint="eastAsia" w:ascii="仿宋" w:hAnsi="仿宋" w:eastAsia="仿宋" w:cs="仿宋"/>
          <w:caps w:val="0"/>
          <w:color w:val="1F1F1F"/>
          <w:spacing w:val="0"/>
          <w:sz w:val="32"/>
          <w:szCs w:val="32"/>
          <w:u w:val="none"/>
        </w:rPr>
        <w:t xml:space="preserve"> </w:t>
      </w:r>
      <w:r>
        <w:rPr>
          <w:rStyle w:val="16"/>
          <w:rFonts w:hint="eastAsia" w:ascii="仿宋" w:hAnsi="仿宋" w:eastAsia="仿宋" w:cs="仿宋"/>
          <w:caps w:val="0"/>
          <w:color w:val="1F1F1F"/>
          <w:spacing w:val="0"/>
          <w:sz w:val="32"/>
          <w:szCs w:val="32"/>
          <w:u w:val="none"/>
          <w:lang w:val="en-US" w:eastAsia="zh-CN"/>
        </w:rPr>
        <w:t xml:space="preserve"> </w:t>
      </w:r>
      <w:r>
        <w:rPr>
          <w:rFonts w:hint="eastAsia" w:ascii="仿宋_GB2312" w:hAnsi="仿宋_GB2312" w:eastAsia="仿宋_GB2312" w:cs="仿宋_GB2312"/>
          <w:caps w:val="0"/>
          <w:color w:val="1F1F1F"/>
          <w:spacing w:val="0"/>
          <w:sz w:val="32"/>
          <w:szCs w:val="32"/>
          <w:u w:val="none"/>
        </w:rPr>
        <w:t>本</w:t>
      </w:r>
      <w:r>
        <w:rPr>
          <w:rFonts w:hint="eastAsia" w:ascii="仿宋_GB2312" w:hAnsi="仿宋_GB2312" w:eastAsia="仿宋_GB2312" w:cs="仿宋_GB2312"/>
          <w:caps w:val="0"/>
          <w:color w:val="1F1F1F"/>
          <w:spacing w:val="0"/>
          <w:sz w:val="32"/>
          <w:szCs w:val="32"/>
          <w:u w:val="none"/>
          <w:lang w:val="en-US" w:eastAsia="zh-CN"/>
        </w:rPr>
        <w:t>办法</w:t>
      </w:r>
      <w:r>
        <w:rPr>
          <w:rFonts w:hint="eastAsia" w:ascii="仿宋_GB2312" w:hAnsi="仿宋_GB2312" w:eastAsia="仿宋_GB2312" w:cs="仿宋_GB2312"/>
          <w:caps w:val="0"/>
          <w:color w:val="1F1F1F"/>
          <w:spacing w:val="0"/>
          <w:sz w:val="32"/>
          <w:szCs w:val="32"/>
          <w:u w:val="none"/>
        </w:rPr>
        <w:t>自印发之日起施行</w:t>
      </w:r>
      <w:r>
        <w:rPr>
          <w:rFonts w:hint="eastAsia" w:ascii="仿宋_GB2312" w:hAnsi="仿宋_GB2312" w:eastAsia="仿宋_GB2312" w:cs="仿宋_GB2312"/>
          <w:caps w:val="0"/>
          <w:color w:val="1F1F1F"/>
          <w:spacing w:val="0"/>
          <w:sz w:val="32"/>
          <w:szCs w:val="32"/>
          <w:u w:val="none"/>
          <w:lang w:eastAsia="zh-CN"/>
        </w:rPr>
        <w:t>，</w:t>
      </w:r>
      <w:r>
        <w:rPr>
          <w:rFonts w:hint="eastAsia" w:ascii="仿宋_GB2312" w:hAnsi="仿宋_GB2312" w:eastAsia="仿宋_GB2312" w:cs="仿宋_GB2312"/>
          <w:caps w:val="0"/>
          <w:color w:val="1F1F1F"/>
          <w:spacing w:val="0"/>
          <w:sz w:val="32"/>
          <w:szCs w:val="32"/>
          <w:u w:val="none"/>
        </w:rPr>
        <w:t>由</w:t>
      </w:r>
      <w:r>
        <w:rPr>
          <w:rFonts w:hint="eastAsia" w:ascii="仿宋_GB2312" w:hAnsi="仿宋_GB2312" w:eastAsia="仿宋_GB2312" w:cs="仿宋_GB2312"/>
          <w:caps w:val="0"/>
          <w:color w:val="1F1F1F"/>
          <w:spacing w:val="0"/>
          <w:sz w:val="32"/>
          <w:szCs w:val="32"/>
          <w:u w:val="none"/>
          <w:lang w:val="en-US" w:eastAsia="zh-CN"/>
        </w:rPr>
        <w:t>实验室</w:t>
      </w:r>
      <w:r>
        <w:rPr>
          <w:rFonts w:hint="eastAsia" w:ascii="仿宋_GB2312" w:hAnsi="仿宋_GB2312" w:eastAsia="仿宋_GB2312" w:cs="仿宋_GB2312"/>
          <w:caps w:val="0"/>
          <w:color w:val="1F1F1F"/>
          <w:spacing w:val="0"/>
          <w:sz w:val="32"/>
          <w:szCs w:val="32"/>
          <w:u w:val="none"/>
        </w:rPr>
        <w:t>与</w:t>
      </w:r>
      <w:r>
        <w:rPr>
          <w:rFonts w:hint="eastAsia" w:ascii="仿宋_GB2312" w:hAnsi="仿宋_GB2312" w:eastAsia="仿宋_GB2312" w:cs="仿宋_GB2312"/>
          <w:caps w:val="0"/>
          <w:color w:val="1F1F1F"/>
          <w:spacing w:val="0"/>
          <w:sz w:val="32"/>
          <w:szCs w:val="32"/>
          <w:u w:val="none"/>
          <w:lang w:val="en-US" w:eastAsia="zh-CN"/>
        </w:rPr>
        <w:t>设备</w:t>
      </w:r>
      <w:r>
        <w:rPr>
          <w:rFonts w:hint="eastAsia" w:ascii="仿宋_GB2312" w:hAnsi="仿宋_GB2312" w:eastAsia="仿宋_GB2312" w:cs="仿宋_GB2312"/>
          <w:caps w:val="0"/>
          <w:color w:val="1F1F1F"/>
          <w:spacing w:val="0"/>
          <w:sz w:val="32"/>
          <w:szCs w:val="32"/>
          <w:u w:val="none"/>
        </w:rPr>
        <w:t>管理处负责解释。</w:t>
      </w:r>
      <w:r>
        <w:rPr>
          <w:rFonts w:hint="eastAsia" w:ascii="仿宋_GB2312" w:hAnsi="仿宋_GB2312" w:eastAsia="仿宋_GB2312" w:cs="仿宋_GB2312"/>
          <w:caps w:val="0"/>
          <w:color w:val="1F1F1F"/>
          <w:spacing w:val="0"/>
          <w:sz w:val="32"/>
          <w:szCs w:val="32"/>
          <w:u w:val="none"/>
          <w:lang w:val="en-US" w:eastAsia="zh-CN"/>
        </w:rPr>
        <w:t>原有规定同时废止。</w:t>
      </w:r>
    </w:p>
    <w:p w14:paraId="36DFA5AA">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80" w:firstLineChars="200"/>
        <w:jc w:val="both"/>
        <w:textAlignment w:val="auto"/>
        <w:rPr>
          <w:rFonts w:hint="eastAsia" w:ascii="仿宋" w:hAnsi="仿宋" w:eastAsia="仿宋" w:cs="仿宋"/>
          <w:caps w:val="0"/>
          <w:color w:val="1F1F1F"/>
          <w:spacing w:val="0"/>
          <w:sz w:val="34"/>
          <w:szCs w:val="34"/>
          <w:u w:val="none"/>
          <w:lang w:val="en-US" w:eastAsia="zh-CN"/>
        </w:rPr>
      </w:pPr>
    </w:p>
    <w:p w14:paraId="6AB13769">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caps w:val="0"/>
          <w:color w:val="1F1F1F"/>
          <w:spacing w:val="0"/>
          <w:sz w:val="32"/>
          <w:szCs w:val="32"/>
          <w:u w:val="none"/>
          <w:lang w:val="en-US" w:eastAsia="zh-CN"/>
        </w:rPr>
      </w:pPr>
      <w:r>
        <w:rPr>
          <w:rFonts w:hint="eastAsia" w:ascii="仿宋_GB2312" w:hAnsi="仿宋_GB2312" w:eastAsia="仿宋_GB2312" w:cs="仿宋_GB2312"/>
          <w:caps w:val="0"/>
          <w:color w:val="1F1F1F"/>
          <w:spacing w:val="0"/>
          <w:sz w:val="32"/>
          <w:szCs w:val="32"/>
          <w:u w:val="none"/>
          <w:lang w:val="en-US" w:eastAsia="zh-CN"/>
        </w:rPr>
        <w:t>附件：1.泉州师范学院实验室安全分级表</w:t>
      </w:r>
    </w:p>
    <w:p w14:paraId="751DD837">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caps w:val="0"/>
          <w:color w:val="1F1F1F"/>
          <w:spacing w:val="0"/>
          <w:sz w:val="32"/>
          <w:szCs w:val="32"/>
          <w:u w:val="none"/>
          <w:lang w:val="en-US" w:eastAsia="zh-CN"/>
        </w:rPr>
      </w:pPr>
      <w:r>
        <w:rPr>
          <w:rFonts w:hint="eastAsia" w:ascii="仿宋_GB2312" w:hAnsi="仿宋_GB2312" w:eastAsia="仿宋_GB2312" w:cs="仿宋_GB2312"/>
          <w:caps w:val="0"/>
          <w:color w:val="1F1F1F"/>
          <w:spacing w:val="0"/>
          <w:sz w:val="32"/>
          <w:szCs w:val="32"/>
          <w:u w:val="none"/>
          <w:lang w:val="en-US" w:eastAsia="zh-CN"/>
        </w:rPr>
        <w:t xml:space="preserve">      2.泉州师范学院实验室安全风险评价表</w:t>
      </w:r>
    </w:p>
    <w:p w14:paraId="53E5D39D">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caps w:val="0"/>
          <w:color w:val="1F1F1F"/>
          <w:spacing w:val="0"/>
          <w:sz w:val="32"/>
          <w:szCs w:val="32"/>
          <w:u w:val="none"/>
          <w:lang w:val="en-US" w:eastAsia="zh-CN"/>
        </w:rPr>
      </w:pPr>
      <w:r>
        <w:rPr>
          <w:rFonts w:hint="eastAsia" w:ascii="仿宋_GB2312" w:hAnsi="仿宋_GB2312" w:eastAsia="仿宋_GB2312" w:cs="仿宋_GB2312"/>
          <w:caps w:val="0"/>
          <w:color w:val="1F1F1F"/>
          <w:spacing w:val="0"/>
          <w:sz w:val="32"/>
          <w:szCs w:val="32"/>
          <w:u w:val="none"/>
          <w:lang w:val="en-US" w:eastAsia="zh-CN"/>
        </w:rPr>
        <w:t xml:space="preserve">      3.泉州师范学院实验室分类参照表</w:t>
      </w:r>
    </w:p>
    <w:p w14:paraId="0B71C876">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80" w:firstLineChars="200"/>
        <w:jc w:val="both"/>
        <w:textAlignment w:val="auto"/>
        <w:rPr>
          <w:rFonts w:hint="eastAsia" w:ascii="仿宋" w:hAnsi="仿宋" w:eastAsia="仿宋" w:cs="仿宋"/>
          <w:caps w:val="0"/>
          <w:color w:val="1F1F1F"/>
          <w:spacing w:val="0"/>
          <w:sz w:val="34"/>
          <w:szCs w:val="34"/>
          <w:u w:val="none"/>
          <w:lang w:val="en-US" w:eastAsia="zh-CN"/>
        </w:rPr>
      </w:pPr>
    </w:p>
    <w:p w14:paraId="130BF499">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80" w:firstLineChars="200"/>
        <w:jc w:val="both"/>
        <w:textAlignment w:val="auto"/>
        <w:rPr>
          <w:rFonts w:hint="eastAsia" w:ascii="仿宋" w:hAnsi="仿宋" w:eastAsia="仿宋" w:cs="仿宋"/>
          <w:caps w:val="0"/>
          <w:color w:val="1F1F1F"/>
          <w:spacing w:val="0"/>
          <w:sz w:val="34"/>
          <w:szCs w:val="34"/>
          <w:u w:val="none"/>
          <w:lang w:val="en-US" w:eastAsia="zh-CN"/>
        </w:rPr>
      </w:pPr>
    </w:p>
    <w:p w14:paraId="37CDF404">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80" w:firstLineChars="200"/>
        <w:jc w:val="both"/>
        <w:textAlignment w:val="auto"/>
        <w:rPr>
          <w:rFonts w:hint="eastAsia" w:ascii="仿宋" w:hAnsi="仿宋" w:eastAsia="仿宋" w:cs="仿宋"/>
          <w:caps w:val="0"/>
          <w:color w:val="1F1F1F"/>
          <w:spacing w:val="0"/>
          <w:sz w:val="34"/>
          <w:szCs w:val="34"/>
          <w:u w:val="none"/>
          <w:lang w:val="en-US" w:eastAsia="zh-CN"/>
        </w:rPr>
      </w:pPr>
    </w:p>
    <w:p w14:paraId="35EF4E9A">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80" w:firstLineChars="200"/>
        <w:jc w:val="both"/>
        <w:textAlignment w:val="auto"/>
        <w:rPr>
          <w:rFonts w:hint="eastAsia" w:ascii="仿宋" w:hAnsi="仿宋" w:eastAsia="仿宋" w:cs="仿宋"/>
          <w:caps w:val="0"/>
          <w:color w:val="1F1F1F"/>
          <w:spacing w:val="0"/>
          <w:sz w:val="34"/>
          <w:szCs w:val="34"/>
          <w:u w:val="none"/>
          <w:lang w:val="en-US" w:eastAsia="zh-CN"/>
        </w:rPr>
      </w:pPr>
    </w:p>
    <w:p w14:paraId="76BEFBFF">
      <w:pPr>
        <w:adjustRightInd w:val="0"/>
        <w:snapToGrid w:val="0"/>
        <w:spacing w:after="423" w:afterLines="100" w:line="560" w:lineRule="exact"/>
        <w:ind w:firstLine="0" w:firstLineChars="0"/>
        <w:rPr>
          <w:rFonts w:hint="eastAsia" w:ascii="黑体" w:hAnsi="黑体" w:eastAsia="黑体" w:cs="黑体"/>
          <w:sz w:val="32"/>
          <w:szCs w:val="32"/>
        </w:rPr>
      </w:pPr>
      <w:r>
        <w:rPr>
          <w:rFonts w:hint="eastAsia" w:ascii="黑体" w:hAnsi="黑体" w:eastAsia="黑体" w:cs="黑体"/>
          <w:sz w:val="32"/>
          <w:szCs w:val="32"/>
        </w:rPr>
        <w:t>附件1</w:t>
      </w:r>
    </w:p>
    <w:p w14:paraId="78A8F07F">
      <w:pPr>
        <w:adjustRightInd w:val="0"/>
        <w:snapToGrid w:val="0"/>
        <w:spacing w:after="423" w:afterLines="100" w:line="56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泉州师范学院</w:t>
      </w:r>
      <w:r>
        <w:rPr>
          <w:rFonts w:hint="eastAsia" w:ascii="方正小标宋简体" w:hAnsi="方正小标宋简体" w:eastAsia="方正小标宋简体" w:cs="方正小标宋简体"/>
          <w:sz w:val="44"/>
          <w:szCs w:val="44"/>
        </w:rPr>
        <w:t>实验室安全分级表</w:t>
      </w:r>
    </w:p>
    <w:tbl>
      <w:tblPr>
        <w:tblStyle w:val="14"/>
        <w:tblW w:w="8809"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4"/>
        <w:gridCol w:w="7035"/>
      </w:tblGrid>
      <w:tr w14:paraId="7B19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blHeader/>
        </w:trPr>
        <w:tc>
          <w:tcPr>
            <w:tcW w:w="1774" w:type="dxa"/>
            <w:vAlign w:val="center"/>
          </w:tcPr>
          <w:p w14:paraId="1A89554F">
            <w:pPr>
              <w:spacing w:line="240" w:lineRule="auto"/>
              <w:ind w:firstLine="0" w:firstLineChars="0"/>
              <w:jc w:val="cente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安全级别</w:t>
            </w:r>
          </w:p>
        </w:tc>
        <w:tc>
          <w:tcPr>
            <w:tcW w:w="7035" w:type="dxa"/>
            <w:vAlign w:val="center"/>
          </w:tcPr>
          <w:p w14:paraId="2939C0BB">
            <w:pPr>
              <w:spacing w:line="240" w:lineRule="auto"/>
              <w:ind w:firstLine="0" w:firstLineChars="0"/>
              <w:jc w:val="cente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参考分级依据</w:t>
            </w:r>
          </w:p>
        </w:tc>
      </w:tr>
      <w:tr w14:paraId="753A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8" w:hRule="atLeast"/>
        </w:trPr>
        <w:tc>
          <w:tcPr>
            <w:tcW w:w="1774" w:type="dxa"/>
            <w:vMerge w:val="restart"/>
            <w:vAlign w:val="center"/>
          </w:tcPr>
          <w:p w14:paraId="70D9C57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级实验室（重大风险实验室）</w:t>
            </w:r>
          </w:p>
        </w:tc>
        <w:tc>
          <w:tcPr>
            <w:tcW w:w="7035" w:type="dxa"/>
          </w:tcPr>
          <w:p w14:paraId="26F3A5D7">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实验室有以下情况之一的：</w:t>
            </w:r>
          </w:p>
          <w:p w14:paraId="59138746">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实验原料或产物含剧毒化学成分；</w:t>
            </w:r>
          </w:p>
          <w:p w14:paraId="585C900B">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使用剧毒化学品；</w:t>
            </w:r>
          </w:p>
          <w:p w14:paraId="1CEBFF9E">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存储第一类易制毒品、第一类精神药品；</w:t>
            </w:r>
          </w:p>
          <w:p w14:paraId="6FCAD404">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存储易燃易爆化学品总量大于50kg或50L；</w:t>
            </w:r>
          </w:p>
          <w:p w14:paraId="6391E6FA">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存储有毒、易燃气体总量≥6瓶；</w:t>
            </w:r>
          </w:p>
          <w:p w14:paraId="7646C491">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生物安全BSL-3、ABSL-3、BSL-4、ABSL-4实验室；</w:t>
            </w:r>
          </w:p>
          <w:p w14:paraId="2AFD825B">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使用Ⅰ、Ⅱ类射线设备；</w:t>
            </w:r>
          </w:p>
          <w:p w14:paraId="799BC2C9">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使用放射性同位素、放射源、核材料；</w:t>
            </w:r>
          </w:p>
          <w:p w14:paraId="36D1AA54">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使用机电类特种设备；</w:t>
            </w:r>
          </w:p>
          <w:p w14:paraId="1F7DE74D">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使用超高压等第三类压力容器；</w:t>
            </w:r>
          </w:p>
          <w:p w14:paraId="45A42E1D">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使用强磁、强电设备；</w:t>
            </w:r>
          </w:p>
          <w:p w14:paraId="4F531D32">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使用4、3R、3B类激光设备；</w:t>
            </w:r>
          </w:p>
          <w:p w14:paraId="65F1A7A5">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使用富氧涉爆实验室自制设备</w:t>
            </w:r>
            <w:r>
              <w:rPr>
                <w:rFonts w:hint="eastAsia" w:ascii="仿宋_GB2312" w:hAnsi="仿宋_GB2312" w:eastAsia="仿宋_GB2312" w:cs="仿宋_GB2312"/>
                <w:sz w:val="32"/>
                <w:szCs w:val="32"/>
                <w:lang w:eastAsia="zh-CN"/>
              </w:rPr>
              <w:t>。</w:t>
            </w:r>
          </w:p>
        </w:tc>
      </w:tr>
      <w:tr w14:paraId="53E3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74" w:type="dxa"/>
            <w:vMerge w:val="continue"/>
          </w:tcPr>
          <w:p w14:paraId="22660CA4">
            <w:pPr>
              <w:spacing w:line="240" w:lineRule="auto"/>
              <w:ind w:firstLine="0" w:firstLineChars="0"/>
              <w:rPr>
                <w:rFonts w:hint="eastAsia" w:ascii="仿宋_GB2312" w:hAnsi="仿宋_GB2312" w:eastAsia="仿宋_GB2312" w:cs="仿宋_GB2312"/>
                <w:sz w:val="32"/>
                <w:szCs w:val="32"/>
                <w:lang w:val="en-US" w:eastAsia="zh-CN"/>
              </w:rPr>
            </w:pPr>
          </w:p>
        </w:tc>
        <w:tc>
          <w:tcPr>
            <w:tcW w:w="7035" w:type="dxa"/>
          </w:tcPr>
          <w:p w14:paraId="092D54A0">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泉州师范学院</w:t>
            </w:r>
            <w:r>
              <w:rPr>
                <w:rFonts w:hint="eastAsia" w:ascii="仿宋_GB2312" w:hAnsi="仿宋_GB2312" w:eastAsia="仿宋_GB2312" w:cs="仿宋_GB2312"/>
                <w:sz w:val="32"/>
                <w:szCs w:val="32"/>
              </w:rPr>
              <w:t>实验室安全风险评价表》评分达到100分的实验室</w:t>
            </w:r>
            <w:r>
              <w:rPr>
                <w:rFonts w:hint="eastAsia" w:ascii="仿宋_GB2312" w:hAnsi="仿宋_GB2312" w:eastAsia="仿宋_GB2312" w:cs="仿宋_GB2312"/>
                <w:sz w:val="32"/>
                <w:szCs w:val="32"/>
                <w:lang w:eastAsia="zh-CN"/>
              </w:rPr>
              <w:t>。</w:t>
            </w:r>
          </w:p>
        </w:tc>
      </w:tr>
      <w:tr w14:paraId="77EB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774" w:type="dxa"/>
            <w:vMerge w:val="restart"/>
            <w:vAlign w:val="center"/>
          </w:tcPr>
          <w:p w14:paraId="29312362">
            <w:pPr>
              <w:spacing w:line="240" w:lineRule="auto"/>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级实验室（高风险实验室）</w:t>
            </w:r>
          </w:p>
        </w:tc>
        <w:tc>
          <w:tcPr>
            <w:tcW w:w="7035" w:type="dxa"/>
          </w:tcPr>
          <w:p w14:paraId="1D1B454F">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实验室有以下情况之一的：</w:t>
            </w:r>
          </w:p>
          <w:p w14:paraId="7577E331">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存储第二类精神药品；</w:t>
            </w:r>
          </w:p>
          <w:p w14:paraId="7D2C1FB5">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存储易燃易爆化学品总量为20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50kg或20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50L；</w:t>
            </w:r>
          </w:p>
          <w:p w14:paraId="780765C2">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存储有毒、易燃气体总量为3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6（不含）瓶；</w:t>
            </w:r>
          </w:p>
          <w:p w14:paraId="2FE70B55">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生物安全BSL-2、ABSL-2实验室；</w:t>
            </w:r>
          </w:p>
          <w:p w14:paraId="1851C8A7">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使用第一类、第二类压力容器</w:t>
            </w:r>
            <w:r>
              <w:rPr>
                <w:rFonts w:hint="eastAsia" w:ascii="仿宋_GB2312" w:hAnsi="仿宋_GB2312" w:eastAsia="仿宋_GB2312" w:cs="仿宋_GB2312"/>
                <w:sz w:val="32"/>
                <w:szCs w:val="32"/>
                <w:lang w:eastAsia="zh-CN"/>
              </w:rPr>
              <w:t>。</w:t>
            </w:r>
          </w:p>
        </w:tc>
      </w:tr>
      <w:tr w14:paraId="0C5B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1774" w:type="dxa"/>
            <w:vMerge w:val="continue"/>
          </w:tcPr>
          <w:p w14:paraId="6EBD6FC9">
            <w:pPr>
              <w:spacing w:line="240" w:lineRule="auto"/>
              <w:ind w:firstLine="0" w:firstLineChars="0"/>
              <w:rPr>
                <w:rFonts w:hint="eastAsia" w:ascii="仿宋_GB2312" w:hAnsi="仿宋_GB2312" w:eastAsia="仿宋_GB2312" w:cs="仿宋_GB2312"/>
                <w:sz w:val="32"/>
                <w:szCs w:val="32"/>
              </w:rPr>
            </w:pPr>
          </w:p>
        </w:tc>
        <w:tc>
          <w:tcPr>
            <w:tcW w:w="7035" w:type="dxa"/>
          </w:tcPr>
          <w:p w14:paraId="56C98A0C">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泉州师范学院</w:t>
            </w:r>
            <w:r>
              <w:rPr>
                <w:rFonts w:hint="eastAsia" w:ascii="仿宋_GB2312" w:hAnsi="仿宋_GB2312" w:eastAsia="仿宋_GB2312" w:cs="仿宋_GB2312"/>
                <w:sz w:val="32"/>
                <w:szCs w:val="32"/>
              </w:rPr>
              <w:t>实验室安全风险评价表》评分在[75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100)范围的实验室</w:t>
            </w:r>
            <w:r>
              <w:rPr>
                <w:rFonts w:hint="eastAsia" w:ascii="仿宋_GB2312" w:hAnsi="仿宋_GB2312" w:eastAsia="仿宋_GB2312" w:cs="仿宋_GB2312"/>
                <w:sz w:val="32"/>
                <w:szCs w:val="32"/>
                <w:lang w:eastAsia="zh-CN"/>
              </w:rPr>
              <w:t>。</w:t>
            </w:r>
          </w:p>
        </w:tc>
      </w:tr>
      <w:tr w14:paraId="7BA7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74" w:type="dxa"/>
            <w:vMerge w:val="restart"/>
            <w:vAlign w:val="center"/>
          </w:tcPr>
          <w:p w14:paraId="303D524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级实验室（中风险实验室）</w:t>
            </w:r>
          </w:p>
        </w:tc>
        <w:tc>
          <w:tcPr>
            <w:tcW w:w="7035" w:type="dxa"/>
          </w:tcPr>
          <w:p w14:paraId="4FA87BD0">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实验室有以下情况之一的：</w:t>
            </w:r>
          </w:p>
          <w:p w14:paraId="03091BBD">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存储第二/三类易制毒品；</w:t>
            </w:r>
          </w:p>
          <w:p w14:paraId="19DEEF89">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生物安全BSL-1、ABSL-1实验室；</w:t>
            </w:r>
          </w:p>
          <w:p w14:paraId="459D7C94">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基础设备老化</w:t>
            </w:r>
            <w:r>
              <w:rPr>
                <w:rFonts w:hint="eastAsia" w:ascii="仿宋_GB2312" w:hAnsi="仿宋_GB2312" w:eastAsia="仿宋_GB2312" w:cs="仿宋_GB2312"/>
                <w:sz w:val="32"/>
                <w:szCs w:val="32"/>
                <w:lang w:eastAsia="zh-CN"/>
              </w:rPr>
              <w:t>。</w:t>
            </w:r>
          </w:p>
        </w:tc>
      </w:tr>
      <w:tr w14:paraId="632C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1774" w:type="dxa"/>
            <w:vMerge w:val="continue"/>
          </w:tcPr>
          <w:p w14:paraId="73236A6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p>
        </w:tc>
        <w:tc>
          <w:tcPr>
            <w:tcW w:w="7035" w:type="dxa"/>
          </w:tcPr>
          <w:p w14:paraId="60F97A06">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泉州师范学院</w:t>
            </w:r>
            <w:r>
              <w:rPr>
                <w:rFonts w:hint="eastAsia" w:ascii="仿宋_GB2312" w:hAnsi="仿宋_GB2312" w:eastAsia="仿宋_GB2312" w:cs="仿宋_GB2312"/>
                <w:sz w:val="32"/>
                <w:szCs w:val="32"/>
              </w:rPr>
              <w:t>实验室安全风险评价表》评分在[25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75)范围的实验室</w:t>
            </w:r>
            <w:r>
              <w:rPr>
                <w:rFonts w:hint="eastAsia" w:ascii="仿宋_GB2312" w:hAnsi="仿宋_GB2312" w:eastAsia="仿宋_GB2312" w:cs="仿宋_GB2312"/>
                <w:sz w:val="32"/>
                <w:szCs w:val="32"/>
                <w:lang w:eastAsia="zh-CN"/>
              </w:rPr>
              <w:t>。</w:t>
            </w:r>
          </w:p>
        </w:tc>
      </w:tr>
      <w:tr w14:paraId="690E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774" w:type="dxa"/>
            <w:vMerge w:val="restart"/>
            <w:vAlign w:val="center"/>
          </w:tcPr>
          <w:p w14:paraId="6F827C00">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级实验室（低风险实验室）</w:t>
            </w:r>
          </w:p>
        </w:tc>
        <w:tc>
          <w:tcPr>
            <w:tcW w:w="7035" w:type="dxa"/>
          </w:tcPr>
          <w:p w14:paraId="730E4C2E">
            <w:pPr>
              <w:pStyle w:val="24"/>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实验室有以下情况之一的：</w:t>
            </w:r>
          </w:p>
          <w:p w14:paraId="334BAF61">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不涉及重要危险源的实验室；</w:t>
            </w:r>
          </w:p>
          <w:p w14:paraId="0088BD77">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主要涉及一般性消防安全、用电安全的实验室</w:t>
            </w:r>
            <w:r>
              <w:rPr>
                <w:rFonts w:hint="eastAsia" w:ascii="仿宋_GB2312" w:hAnsi="仿宋_GB2312" w:eastAsia="仿宋_GB2312" w:cs="仿宋_GB2312"/>
                <w:sz w:val="32"/>
                <w:szCs w:val="32"/>
                <w:lang w:eastAsia="zh-CN"/>
              </w:rPr>
              <w:t>。</w:t>
            </w:r>
          </w:p>
        </w:tc>
      </w:tr>
      <w:tr w14:paraId="49CA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1774" w:type="dxa"/>
            <w:vMerge w:val="continue"/>
          </w:tcPr>
          <w:p w14:paraId="65EDD2DF">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p>
        </w:tc>
        <w:tc>
          <w:tcPr>
            <w:tcW w:w="7035" w:type="dxa"/>
          </w:tcPr>
          <w:p w14:paraId="445D39D2">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泉州师范学院</w:t>
            </w:r>
            <w:r>
              <w:rPr>
                <w:rFonts w:hint="eastAsia" w:ascii="仿宋_GB2312" w:hAnsi="仿宋_GB2312" w:eastAsia="仿宋_GB2312" w:cs="仿宋_GB2312"/>
                <w:sz w:val="32"/>
                <w:szCs w:val="32"/>
              </w:rPr>
              <w:t>实验室安全风险评价表》评分在[0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25)范围的实验室</w:t>
            </w:r>
            <w:r>
              <w:rPr>
                <w:rFonts w:hint="eastAsia" w:ascii="仿宋_GB2312" w:hAnsi="仿宋_GB2312" w:eastAsia="仿宋_GB2312" w:cs="仿宋_GB2312"/>
                <w:sz w:val="32"/>
                <w:szCs w:val="32"/>
                <w:lang w:eastAsia="zh-CN"/>
              </w:rPr>
              <w:t>。</w:t>
            </w:r>
          </w:p>
        </w:tc>
      </w:tr>
    </w:tbl>
    <w:p w14:paraId="202DF1A5">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说明</w:t>
      </w:r>
      <w:r>
        <w:rPr>
          <w:rFonts w:hint="eastAsia" w:ascii="仿宋_GB2312" w:hAnsi="仿宋_GB2312" w:eastAsia="仿宋_GB2312" w:cs="仿宋_GB2312"/>
          <w:sz w:val="32"/>
          <w:szCs w:val="32"/>
        </w:rPr>
        <w:t>：</w:t>
      </w:r>
    </w:p>
    <w:p w14:paraId="2494F46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1.实验室分级先按表中各级实验室所对应的参考情况划分，无所列情况的，按《</w:t>
      </w:r>
      <w:r>
        <w:rPr>
          <w:rFonts w:hint="eastAsia" w:ascii="仿宋_GB2312" w:hAnsi="仿宋_GB2312" w:eastAsia="仿宋_GB2312" w:cs="仿宋_GB2312"/>
          <w:sz w:val="32"/>
          <w:szCs w:val="32"/>
          <w:lang w:val="en-US" w:eastAsia="zh-CN"/>
        </w:rPr>
        <w:t>泉州师范学院</w:t>
      </w:r>
      <w:r>
        <w:rPr>
          <w:rFonts w:hint="eastAsia" w:ascii="仿宋_GB2312" w:hAnsi="仿宋_GB2312" w:eastAsia="仿宋_GB2312" w:cs="仿宋_GB2312"/>
          <w:sz w:val="32"/>
          <w:szCs w:val="32"/>
        </w:rPr>
        <w:t>实验室安全风险评价表》进行累计评分确定等级。</w:t>
      </w:r>
    </w:p>
    <w:p w14:paraId="3A1BFC7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2.对于既有本表所列参考情况，又有《</w:t>
      </w:r>
      <w:r>
        <w:rPr>
          <w:rFonts w:hint="eastAsia" w:ascii="仿宋_GB2312" w:hAnsi="仿宋_GB2312" w:eastAsia="仿宋_GB2312" w:cs="仿宋_GB2312"/>
          <w:sz w:val="32"/>
          <w:szCs w:val="32"/>
          <w:lang w:val="en-US" w:eastAsia="zh-CN"/>
        </w:rPr>
        <w:t>泉州师范学院</w:t>
      </w:r>
      <w:r>
        <w:rPr>
          <w:rFonts w:hint="eastAsia" w:ascii="仿宋_GB2312" w:hAnsi="仿宋_GB2312" w:eastAsia="仿宋_GB2312" w:cs="仿宋_GB2312"/>
          <w:sz w:val="32"/>
          <w:szCs w:val="32"/>
        </w:rPr>
        <w:t>实验室安全风险评价表》所列危险源的，取两者较高者所对应的实验室等级。</w:t>
      </w:r>
    </w:p>
    <w:p w14:paraId="246DC717">
      <w:pPr>
        <w:spacing w:after="423" w:afterLines="100" w:line="560" w:lineRule="exact"/>
        <w:ind w:firstLine="0" w:firstLineChars="0"/>
        <w:rPr>
          <w:rFonts w:hint="eastAsia" w:ascii="仿宋_GB2312" w:hAnsi="仿宋_GB2312" w:eastAsia="仿宋_GB2312" w:cs="仿宋_GB2312"/>
          <w:sz w:val="32"/>
          <w:szCs w:val="32"/>
        </w:rPr>
      </w:pPr>
    </w:p>
    <w:p w14:paraId="436E2EAE">
      <w:pPr>
        <w:spacing w:after="423" w:afterLines="100" w:line="560" w:lineRule="exact"/>
        <w:ind w:firstLine="0" w:firstLineChars="0"/>
        <w:rPr>
          <w:rFonts w:hint="eastAsia" w:ascii="仿宋_GB2312" w:hAnsi="仿宋_GB2312" w:eastAsia="仿宋_GB2312" w:cs="仿宋_GB2312"/>
          <w:sz w:val="32"/>
          <w:szCs w:val="32"/>
        </w:rPr>
      </w:pPr>
    </w:p>
    <w:p w14:paraId="73E263B2">
      <w:pPr>
        <w:spacing w:after="423" w:afterLines="100" w:line="560" w:lineRule="exact"/>
        <w:ind w:firstLine="0" w:firstLineChars="0"/>
        <w:rPr>
          <w:rFonts w:hint="eastAsia" w:ascii="仿宋_GB2312" w:hAnsi="仿宋_GB2312" w:eastAsia="仿宋_GB2312" w:cs="仿宋_GB2312"/>
          <w:sz w:val="32"/>
          <w:szCs w:val="32"/>
        </w:rPr>
      </w:pPr>
    </w:p>
    <w:p w14:paraId="794AF046">
      <w:pPr>
        <w:spacing w:after="423" w:afterLines="100" w:line="560" w:lineRule="exact"/>
        <w:ind w:firstLine="0" w:firstLineChars="0"/>
        <w:rPr>
          <w:rFonts w:hint="eastAsia" w:ascii="仿宋_GB2312" w:hAnsi="仿宋_GB2312" w:eastAsia="仿宋_GB2312" w:cs="仿宋_GB2312"/>
          <w:sz w:val="32"/>
          <w:szCs w:val="32"/>
        </w:rPr>
      </w:pPr>
    </w:p>
    <w:p w14:paraId="0F270E4E">
      <w:pPr>
        <w:spacing w:after="423" w:afterLines="100" w:line="560" w:lineRule="exact"/>
        <w:ind w:firstLine="0" w:firstLineChars="0"/>
        <w:rPr>
          <w:rFonts w:hint="eastAsia" w:ascii="仿宋_GB2312" w:hAnsi="仿宋_GB2312" w:eastAsia="仿宋_GB2312" w:cs="仿宋_GB2312"/>
          <w:sz w:val="32"/>
          <w:szCs w:val="32"/>
        </w:rPr>
      </w:pPr>
    </w:p>
    <w:p w14:paraId="54D9D167">
      <w:pPr>
        <w:spacing w:after="423" w:afterLines="100" w:line="560" w:lineRule="exact"/>
        <w:ind w:firstLine="0" w:firstLineChars="0"/>
        <w:rPr>
          <w:rFonts w:hint="eastAsia" w:ascii="仿宋_GB2312" w:hAnsi="仿宋_GB2312" w:eastAsia="仿宋_GB2312" w:cs="仿宋_GB2312"/>
          <w:sz w:val="32"/>
          <w:szCs w:val="32"/>
        </w:rPr>
      </w:pPr>
    </w:p>
    <w:p w14:paraId="14AA850A">
      <w:pPr>
        <w:spacing w:after="423" w:afterLines="100" w:line="560" w:lineRule="exact"/>
        <w:ind w:firstLine="0" w:firstLineChars="0"/>
        <w:rPr>
          <w:rFonts w:hint="eastAsia" w:ascii="仿宋_GB2312" w:hAnsi="仿宋_GB2312" w:eastAsia="仿宋_GB2312" w:cs="仿宋_GB2312"/>
          <w:sz w:val="32"/>
          <w:szCs w:val="32"/>
        </w:rPr>
      </w:pPr>
    </w:p>
    <w:p w14:paraId="77E40E7E">
      <w:pPr>
        <w:spacing w:after="423" w:afterLines="100" w:line="560" w:lineRule="exact"/>
        <w:ind w:firstLine="0" w:firstLineChars="0"/>
        <w:rPr>
          <w:rFonts w:hint="eastAsia" w:ascii="仿宋_GB2312" w:hAnsi="仿宋_GB2312" w:eastAsia="仿宋_GB2312" w:cs="仿宋_GB2312"/>
          <w:sz w:val="32"/>
          <w:szCs w:val="32"/>
        </w:rPr>
      </w:pPr>
    </w:p>
    <w:p w14:paraId="495BEB86">
      <w:pPr>
        <w:spacing w:after="423" w:afterLines="100" w:line="560" w:lineRule="exact"/>
        <w:ind w:firstLine="0" w:firstLineChars="0"/>
        <w:rPr>
          <w:rFonts w:hint="eastAsia" w:ascii="仿宋_GB2312" w:hAnsi="仿宋_GB2312" w:eastAsia="仿宋_GB2312" w:cs="仿宋_GB2312"/>
          <w:sz w:val="32"/>
          <w:szCs w:val="32"/>
        </w:rPr>
      </w:pPr>
    </w:p>
    <w:p w14:paraId="5137A4AE">
      <w:pPr>
        <w:pStyle w:val="2"/>
        <w:rPr>
          <w:rFonts w:hint="eastAsia" w:ascii="仿宋_GB2312" w:hAnsi="仿宋_GB2312" w:eastAsia="仿宋_GB2312" w:cs="仿宋_GB2312"/>
          <w:sz w:val="32"/>
          <w:szCs w:val="32"/>
        </w:rPr>
      </w:pPr>
    </w:p>
    <w:p w14:paraId="72400D03">
      <w:pPr>
        <w:pStyle w:val="2"/>
        <w:rPr>
          <w:rFonts w:hint="eastAsia" w:ascii="仿宋_GB2312" w:hAnsi="仿宋_GB2312" w:eastAsia="仿宋_GB2312" w:cs="仿宋_GB2312"/>
          <w:sz w:val="32"/>
          <w:szCs w:val="32"/>
        </w:rPr>
      </w:pPr>
    </w:p>
    <w:p w14:paraId="75010660">
      <w:pPr>
        <w:pStyle w:val="2"/>
        <w:rPr>
          <w:rFonts w:hint="eastAsia" w:ascii="仿宋_GB2312" w:hAnsi="仿宋_GB2312" w:eastAsia="仿宋_GB2312" w:cs="仿宋_GB2312"/>
          <w:sz w:val="32"/>
          <w:szCs w:val="32"/>
        </w:rPr>
      </w:pPr>
    </w:p>
    <w:p w14:paraId="1DAFFF15">
      <w:pPr>
        <w:spacing w:after="423" w:afterLines="100" w:line="560" w:lineRule="exact"/>
        <w:ind w:firstLine="0" w:firstLineChars="0"/>
        <w:rPr>
          <w:rFonts w:hint="eastAsia" w:ascii="仿宋_GB2312" w:hAnsi="仿宋_GB2312" w:eastAsia="仿宋_GB2312" w:cs="仿宋_GB2312"/>
          <w:sz w:val="32"/>
          <w:szCs w:val="32"/>
        </w:rPr>
      </w:pPr>
    </w:p>
    <w:p w14:paraId="7B5865BB">
      <w:pPr>
        <w:pStyle w:val="2"/>
        <w:rPr>
          <w:rFonts w:hint="eastAsia"/>
        </w:rPr>
      </w:pPr>
    </w:p>
    <w:p w14:paraId="4A39F6E4">
      <w:pPr>
        <w:spacing w:after="423" w:afterLines="100" w:line="560" w:lineRule="exact"/>
        <w:ind w:firstLine="0" w:firstLineChars="0"/>
        <w:rPr>
          <w:rFonts w:hint="eastAsia" w:ascii="黑体" w:hAnsi="黑体" w:eastAsia="黑体" w:cs="黑体"/>
          <w:sz w:val="32"/>
          <w:szCs w:val="32"/>
        </w:rPr>
      </w:pPr>
      <w:r>
        <w:rPr>
          <w:rFonts w:hint="eastAsia" w:ascii="黑体" w:hAnsi="黑体" w:eastAsia="黑体" w:cs="黑体"/>
          <w:sz w:val="32"/>
          <w:szCs w:val="32"/>
        </w:rPr>
        <w:t>附件2</w:t>
      </w:r>
    </w:p>
    <w:p w14:paraId="6EE26054">
      <w:pPr>
        <w:spacing w:after="423" w:afterLines="100" w:line="560" w:lineRule="exact"/>
        <w:ind w:firstLine="0" w:firstLineChars="0"/>
        <w:jc w:val="center"/>
        <w:rPr>
          <w:rFonts w:ascii="方正小标宋简体" w:hAnsi="方正小标宋简体" w:eastAsia="方正小标宋简体" w:cs="方正小标宋简体"/>
          <w:sz w:val="44"/>
          <w:szCs w:val="40"/>
        </w:rPr>
      </w:pPr>
      <w:r>
        <w:rPr>
          <w:rFonts w:hint="eastAsia" w:ascii="方正小标宋简体" w:hAnsi="方正小标宋简体" w:eastAsia="方正小标宋简体" w:cs="方正小标宋简体"/>
          <w:sz w:val="44"/>
          <w:szCs w:val="40"/>
          <w:lang w:val="en-US" w:eastAsia="zh-CN"/>
        </w:rPr>
        <w:t>泉州师范学院</w:t>
      </w:r>
      <w:r>
        <w:rPr>
          <w:rFonts w:hint="eastAsia" w:ascii="方正小标宋简体" w:hAnsi="方正小标宋简体" w:eastAsia="方正小标宋简体" w:cs="方正小标宋简体"/>
          <w:sz w:val="44"/>
          <w:szCs w:val="40"/>
        </w:rPr>
        <w:t>实验室安全风险评价表</w:t>
      </w:r>
    </w:p>
    <w:tbl>
      <w:tblPr>
        <w:tblStyle w:val="14"/>
        <w:tblW w:w="89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7393"/>
      </w:tblGrid>
      <w:tr w14:paraId="72D6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blHeader/>
        </w:trPr>
        <w:tc>
          <w:tcPr>
            <w:tcW w:w="1566" w:type="dxa"/>
            <w:vAlign w:val="center"/>
          </w:tcPr>
          <w:p w14:paraId="73C339DC">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每项计分</w:t>
            </w:r>
          </w:p>
        </w:tc>
        <w:tc>
          <w:tcPr>
            <w:tcW w:w="7393" w:type="dxa"/>
            <w:vAlign w:val="center"/>
          </w:tcPr>
          <w:p w14:paraId="26C15E0B">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风险源</w:t>
            </w:r>
          </w:p>
        </w:tc>
      </w:tr>
      <w:tr w14:paraId="4913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6" w:type="dxa"/>
            <w:vAlign w:val="center"/>
          </w:tcPr>
          <w:p w14:paraId="517EC183">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25分</w:t>
            </w:r>
          </w:p>
          <w:p w14:paraId="5EBB315F">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sz w:val="32"/>
                <w:szCs w:val="32"/>
              </w:rPr>
            </w:pPr>
          </w:p>
        </w:tc>
        <w:tc>
          <w:tcPr>
            <w:tcW w:w="7393" w:type="dxa"/>
          </w:tcPr>
          <w:p w14:paraId="76E1A19A">
            <w:pPr>
              <w:pStyle w:val="24"/>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存储易燃易爆化学品总量在5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20kg或5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20L</w:t>
            </w:r>
            <w:r>
              <w:rPr>
                <w:rFonts w:hint="eastAsia" w:ascii="仿宋_GB2312" w:hAnsi="仿宋_GB2312" w:eastAsia="仿宋_GB2312" w:cs="仿宋_GB2312"/>
                <w:sz w:val="32"/>
                <w:szCs w:val="32"/>
                <w:lang w:val="en-US" w:eastAsia="zh-CN"/>
              </w:rPr>
              <w:t>；</w:t>
            </w:r>
          </w:p>
          <w:p w14:paraId="74D17D30">
            <w:pPr>
              <w:pStyle w:val="24"/>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存储一般危化品总量50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100kg或50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100L；</w:t>
            </w:r>
          </w:p>
          <w:p w14:paraId="4008BD91">
            <w:pPr>
              <w:pStyle w:val="24"/>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存储有毒、易燃气体总量为2瓶；</w:t>
            </w:r>
          </w:p>
          <w:p w14:paraId="4F7C19B8">
            <w:pPr>
              <w:pStyle w:val="24"/>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使用Ⅲ类射线设备的数量≥2台；</w:t>
            </w:r>
          </w:p>
          <w:p w14:paraId="6C3886E3">
            <w:pPr>
              <w:pStyle w:val="24"/>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使用简单压力容器的数量≥3台；</w:t>
            </w:r>
          </w:p>
          <w:p w14:paraId="14153242">
            <w:pPr>
              <w:pStyle w:val="24"/>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实验室使用危险机加工装置的数量≥3台；</w:t>
            </w:r>
          </w:p>
          <w:p w14:paraId="5FC4BF3D">
            <w:pPr>
              <w:pStyle w:val="24"/>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实验室使用加热设备数量≥6台；</w:t>
            </w:r>
          </w:p>
          <w:p w14:paraId="00CC43F9">
            <w:pPr>
              <w:pStyle w:val="24"/>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实验室每月危险废物产生量≥100L或kg</w:t>
            </w:r>
            <w:r>
              <w:rPr>
                <w:rFonts w:hint="eastAsia" w:ascii="仿宋_GB2312" w:hAnsi="仿宋_GB2312" w:eastAsia="仿宋_GB2312" w:cs="仿宋_GB2312"/>
                <w:sz w:val="32"/>
                <w:szCs w:val="32"/>
                <w:lang w:eastAsia="zh-CN"/>
              </w:rPr>
              <w:t>。</w:t>
            </w:r>
          </w:p>
        </w:tc>
      </w:tr>
      <w:tr w14:paraId="3CD9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14:paraId="4C500792">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10分</w:t>
            </w:r>
          </w:p>
        </w:tc>
        <w:tc>
          <w:tcPr>
            <w:tcW w:w="7393" w:type="dxa"/>
          </w:tcPr>
          <w:p w14:paraId="4413DB94">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使用超过人体安全电压（36V）的实验；</w:t>
            </w:r>
          </w:p>
          <w:p w14:paraId="03339192">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涉及合成放热实验；</w:t>
            </w:r>
          </w:p>
          <w:p w14:paraId="5A5802DF">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涉及压力实验；</w:t>
            </w:r>
          </w:p>
          <w:p w14:paraId="27550C81">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产生易燃气体的实验；</w:t>
            </w:r>
          </w:p>
          <w:p w14:paraId="564AF582">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涉及持续加热实验；</w:t>
            </w:r>
          </w:p>
          <w:p w14:paraId="0A7D62B6">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使用一般实验室自制设备；</w:t>
            </w:r>
          </w:p>
          <w:p w14:paraId="75F4F1C6">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存储易燃易爆化学品＜5kg或5L；</w:t>
            </w:r>
          </w:p>
          <w:p w14:paraId="32E980B0">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实验室存储一般危化品总量＜50kg或50L；</w:t>
            </w:r>
          </w:p>
          <w:p w14:paraId="255EDF20">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存储有毒、易燃气体1瓶；</w:t>
            </w:r>
          </w:p>
          <w:p w14:paraId="4B265E39">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存储或使用有活性的病原微生物，对人或其他动物感染性较弱，或感染后易治愈；</w:t>
            </w:r>
          </w:p>
          <w:p w14:paraId="50C83D40">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使用简单压力容器1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2台；</w:t>
            </w:r>
          </w:p>
          <w:p w14:paraId="42CD57B9">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使用Ⅲ类射线设备1台；</w:t>
            </w:r>
          </w:p>
          <w:p w14:paraId="07FBDFD3">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使用危险机加工装置1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2台；</w:t>
            </w:r>
          </w:p>
          <w:p w14:paraId="3FEE9F70">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使用一般机加工装置的数量≥5台；</w:t>
            </w:r>
          </w:p>
          <w:p w14:paraId="65B98261">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实验室一般用电设备负载≥80%设计负载；</w:t>
            </w:r>
          </w:p>
          <w:p w14:paraId="736F2164">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使用2、2M、1、1M类激光设备的数量≥3台；</w:t>
            </w:r>
          </w:p>
          <w:p w14:paraId="4850F9A1">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实验室每月危险废物产生量为20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100L或kg；</w:t>
            </w:r>
          </w:p>
          <w:p w14:paraId="77D6DD5E">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实验室使用加热设备数量3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5台；</w:t>
            </w:r>
          </w:p>
          <w:p w14:paraId="70F28F8E">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实验室使用每1台明火设备</w:t>
            </w:r>
            <w:r>
              <w:rPr>
                <w:rFonts w:hint="eastAsia" w:ascii="仿宋_GB2312" w:hAnsi="仿宋_GB2312" w:eastAsia="仿宋_GB2312" w:cs="仿宋_GB2312"/>
                <w:sz w:val="32"/>
                <w:szCs w:val="32"/>
                <w:lang w:eastAsia="zh-CN"/>
              </w:rPr>
              <w:t>。</w:t>
            </w:r>
          </w:p>
        </w:tc>
      </w:tr>
      <w:tr w14:paraId="7702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trPr>
        <w:tc>
          <w:tcPr>
            <w:tcW w:w="1566" w:type="dxa"/>
            <w:vAlign w:val="center"/>
          </w:tcPr>
          <w:p w14:paraId="055A7F65">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5分</w:t>
            </w:r>
          </w:p>
        </w:tc>
        <w:tc>
          <w:tcPr>
            <w:tcW w:w="7393" w:type="dxa"/>
          </w:tcPr>
          <w:p w14:paraId="7948E1E0">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存储普通气体1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4瓶；</w:t>
            </w:r>
          </w:p>
          <w:p w14:paraId="486C4734">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使用一般机加工装置1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4台；</w:t>
            </w:r>
          </w:p>
          <w:p w14:paraId="0CAE9D88">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使用2、2M、1、1M类激光设备1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2台；</w:t>
            </w:r>
          </w:p>
          <w:p w14:paraId="2B9DDE9C">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实验室每月危险废物产生量＜20L或kg；</w:t>
            </w:r>
          </w:p>
          <w:p w14:paraId="10AC374D">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实验室使用加热设备数量1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2台；</w:t>
            </w:r>
          </w:p>
          <w:p w14:paraId="2CE54294">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存放危险化学品的防爆冰箱或经防爆改造冰箱数量每1台；</w:t>
            </w:r>
          </w:p>
          <w:p w14:paraId="689BD05C">
            <w:pPr>
              <w:pStyle w:val="2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实验室使用每1台快捷电热设备</w:t>
            </w:r>
            <w:r>
              <w:rPr>
                <w:rFonts w:hint="eastAsia" w:ascii="仿宋_GB2312" w:hAnsi="仿宋_GB2312" w:eastAsia="仿宋_GB2312" w:cs="仿宋_GB2312"/>
                <w:sz w:val="32"/>
                <w:szCs w:val="32"/>
                <w:lang w:eastAsia="zh-CN"/>
              </w:rPr>
              <w:t>。</w:t>
            </w:r>
          </w:p>
        </w:tc>
      </w:tr>
    </w:tbl>
    <w:p w14:paraId="7193A402">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说明</w:t>
      </w:r>
      <w:r>
        <w:rPr>
          <w:rFonts w:hint="eastAsia" w:ascii="仿宋_GB2312" w:hAnsi="仿宋_GB2312" w:eastAsia="仿宋_GB2312" w:cs="仿宋_GB2312"/>
          <w:sz w:val="32"/>
          <w:szCs w:val="32"/>
        </w:rPr>
        <w:t>：</w:t>
      </w:r>
    </w:p>
    <w:p w14:paraId="03B345D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1.表中所称实验室房间均以面积为50m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计，其他面积可按比例调整评价内容</w:t>
      </w:r>
      <w:r>
        <w:rPr>
          <w:rFonts w:hint="eastAsia" w:ascii="仿宋_GB2312" w:hAnsi="仿宋_GB2312" w:eastAsia="仿宋_GB2312" w:cs="仿宋_GB2312"/>
          <w:sz w:val="32"/>
          <w:szCs w:val="32"/>
          <w:lang w:eastAsia="zh-CN"/>
        </w:rPr>
        <w:t>。</w:t>
      </w:r>
    </w:p>
    <w:p w14:paraId="33C8FCD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2.表中符合任1种情况计相应分数，符合多种情况，分数累加计算，最高100分</w:t>
      </w:r>
      <w:r>
        <w:rPr>
          <w:rFonts w:hint="eastAsia" w:ascii="仿宋_GB2312" w:hAnsi="仿宋_GB2312" w:eastAsia="仿宋_GB2312" w:cs="仿宋_GB2312"/>
          <w:sz w:val="32"/>
          <w:szCs w:val="32"/>
          <w:lang w:eastAsia="zh-CN"/>
        </w:rPr>
        <w:t>。</w:t>
      </w:r>
    </w:p>
    <w:p w14:paraId="5E65D98A">
      <w:pPr>
        <w:keepNext w:val="0"/>
        <w:keepLines w:val="0"/>
        <w:pageBreakBefore w:val="0"/>
        <w:widowControl w:val="0"/>
        <w:kinsoku/>
        <w:wordWrap/>
        <w:overflowPunct/>
        <w:topLinePunct w:val="0"/>
        <w:autoSpaceDE/>
        <w:autoSpaceDN/>
        <w:bidi w:val="0"/>
        <w:adjustRightInd/>
        <w:snapToGrid/>
        <w:spacing w:after="211" w:afterLines="5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3.实验室自制设备，是指由使用人自行或者委托其他单位进行设计、制造、安装的，并以其为载体进行实验活动的非标设备；对标准设备进行改造也参照自制设备进行管理。</w:t>
      </w:r>
    </w:p>
    <w:p w14:paraId="6769436E">
      <w:pPr>
        <w:pStyle w:val="2"/>
        <w:rPr>
          <w:rFonts w:hint="eastAsia"/>
        </w:rPr>
      </w:pPr>
    </w:p>
    <w:p w14:paraId="50856972">
      <w:pPr>
        <w:spacing w:after="211" w:afterLines="50" w:line="560" w:lineRule="exact"/>
        <w:ind w:firstLine="0" w:firstLineChars="0"/>
        <w:rPr>
          <w:rFonts w:hint="eastAsia" w:ascii="黑体" w:hAnsi="黑体" w:eastAsia="黑体" w:cs="黑体"/>
          <w:sz w:val="32"/>
          <w:szCs w:val="32"/>
        </w:rPr>
      </w:pPr>
      <w:r>
        <w:rPr>
          <w:rFonts w:hint="eastAsia" w:ascii="黑体" w:hAnsi="黑体" w:eastAsia="黑体" w:cs="黑体"/>
          <w:sz w:val="32"/>
          <w:szCs w:val="32"/>
        </w:rPr>
        <w:t>附件3</w:t>
      </w:r>
    </w:p>
    <w:p w14:paraId="13729216">
      <w:pPr>
        <w:spacing w:after="423" w:afterLines="100" w:line="560" w:lineRule="exact"/>
        <w:ind w:firstLine="0" w:firstLineChars="0"/>
        <w:jc w:val="center"/>
        <w:rPr>
          <w:rFonts w:ascii="方正小标宋简体" w:eastAsia="方正小标宋简体" w:cs="Times New Roman"/>
          <w:sz w:val="44"/>
          <w:szCs w:val="44"/>
        </w:rPr>
      </w:pPr>
      <w:r>
        <w:rPr>
          <w:rFonts w:hint="eastAsia" w:ascii="方正小标宋简体" w:eastAsia="方正小标宋简体" w:cs="Times New Roman"/>
          <w:sz w:val="44"/>
          <w:szCs w:val="44"/>
          <w:lang w:val="en-US" w:eastAsia="zh-CN"/>
        </w:rPr>
        <w:t>泉州师范学院</w:t>
      </w:r>
      <w:r>
        <w:rPr>
          <w:rFonts w:hint="eastAsia" w:ascii="方正小标宋简体" w:eastAsia="方正小标宋简体" w:cs="Times New Roman"/>
          <w:sz w:val="44"/>
          <w:szCs w:val="44"/>
        </w:rPr>
        <w:t>实验室分类参照表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1220"/>
        <w:gridCol w:w="6667"/>
      </w:tblGrid>
      <w:tr w14:paraId="51EF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vAlign w:val="center"/>
          </w:tcPr>
          <w:p w14:paraId="084F3028">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1701" w:type="dxa"/>
            <w:vAlign w:val="center"/>
          </w:tcPr>
          <w:p w14:paraId="11DCD176">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实验室</w:t>
            </w:r>
          </w:p>
          <w:p w14:paraId="19AD53DA">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分类</w:t>
            </w:r>
          </w:p>
        </w:tc>
        <w:tc>
          <w:tcPr>
            <w:tcW w:w="10773" w:type="dxa"/>
            <w:vAlign w:val="center"/>
          </w:tcPr>
          <w:p w14:paraId="552E7450">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分类参照依据</w:t>
            </w:r>
          </w:p>
        </w:tc>
      </w:tr>
      <w:tr w14:paraId="1958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14:paraId="288BCFE0">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701" w:type="dxa"/>
            <w:vAlign w:val="center"/>
          </w:tcPr>
          <w:p w14:paraId="2A34651D">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化学类</w:t>
            </w:r>
          </w:p>
          <w:p w14:paraId="095E566D">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w:t>
            </w:r>
          </w:p>
        </w:tc>
        <w:tc>
          <w:tcPr>
            <w:tcW w:w="10773" w:type="dxa"/>
            <w:vAlign w:val="center"/>
          </w:tcPr>
          <w:p w14:paraId="2A37DA85">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包括从事化学、药学、化学工程、环境科学与工程、材料科学与工程等较多涉及化学试剂或化学反应的实验室。这类实验中的危险源分为两类，一类是易燃、易爆、有毒化学品（含实验气体）可能带来的化学性危险源，另一类是设备设施缺陷和防护缺陷所带来的物理性危险源</w:t>
            </w:r>
            <w:r>
              <w:rPr>
                <w:rFonts w:hint="eastAsia" w:ascii="仿宋_GB2312" w:hAnsi="仿宋_GB2312" w:eastAsia="仿宋_GB2312" w:cs="仿宋_GB2312"/>
                <w:sz w:val="32"/>
                <w:szCs w:val="32"/>
                <w:lang w:eastAsia="zh-CN"/>
              </w:rPr>
              <w:t>。</w:t>
            </w:r>
          </w:p>
        </w:tc>
      </w:tr>
      <w:tr w14:paraId="375A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04" w:type="dxa"/>
            <w:vAlign w:val="center"/>
          </w:tcPr>
          <w:p w14:paraId="01DF4339">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701" w:type="dxa"/>
            <w:vAlign w:val="center"/>
          </w:tcPr>
          <w:p w14:paraId="17346F63">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生物类</w:t>
            </w:r>
          </w:p>
          <w:p w14:paraId="53876E91">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w:t>
            </w:r>
          </w:p>
        </w:tc>
        <w:tc>
          <w:tcPr>
            <w:tcW w:w="10773" w:type="dxa"/>
            <w:vAlign w:val="center"/>
          </w:tcPr>
          <w:p w14:paraId="3DDD31B8">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包括从事基因工程、微生物学等生物和医学专业中较多涉及病毒、细菌、真菌等微生物研究和动物研究的实验室。这类实验室中细菌、病毒、真菌、寄生虫、动物寄生微生物等为主要危险源，它们的释放、扩散可能会污染实验室内外环境的空气、水、物体表面或感染人体。涉及病原微生物的实验室应进行相应的审批或备案</w:t>
            </w:r>
            <w:r>
              <w:rPr>
                <w:rFonts w:hint="eastAsia" w:ascii="仿宋_GB2312" w:hAnsi="仿宋_GB2312" w:eastAsia="仿宋_GB2312" w:cs="仿宋_GB2312"/>
                <w:sz w:val="32"/>
                <w:szCs w:val="32"/>
                <w:lang w:eastAsia="zh-CN"/>
              </w:rPr>
              <w:t>。</w:t>
            </w:r>
          </w:p>
        </w:tc>
      </w:tr>
      <w:tr w14:paraId="310E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704" w:type="dxa"/>
            <w:vAlign w:val="center"/>
          </w:tcPr>
          <w:p w14:paraId="7A20B7A8">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701" w:type="dxa"/>
            <w:vAlign w:val="center"/>
          </w:tcPr>
          <w:p w14:paraId="24438539">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辐射类</w:t>
            </w:r>
          </w:p>
          <w:p w14:paraId="2E5B2CF1">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w:t>
            </w:r>
          </w:p>
        </w:tc>
        <w:tc>
          <w:tcPr>
            <w:tcW w:w="10773" w:type="dxa"/>
            <w:vAlign w:val="center"/>
          </w:tcPr>
          <w:p w14:paraId="62D2AD57">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包括物理、核科学与技术、医学、生物、化学、材料科学与工程等专业方向中涉及放射性同位素、射线装置与核材料的实验室。这类实验中的危险源主要是放射性同位素、射线装置与核材料产生的电离辐射，可能对人体造成内外照射伤害，也可能对环境产生放射性污染；存放或使用核材料的实验室还存在核安全风险</w:t>
            </w:r>
            <w:r>
              <w:rPr>
                <w:rFonts w:hint="eastAsia" w:ascii="仿宋_GB2312" w:hAnsi="仿宋_GB2312" w:eastAsia="仿宋_GB2312" w:cs="仿宋_GB2312"/>
                <w:sz w:val="32"/>
                <w:szCs w:val="32"/>
                <w:lang w:eastAsia="zh-CN"/>
              </w:rPr>
              <w:t>。</w:t>
            </w:r>
          </w:p>
        </w:tc>
      </w:tr>
      <w:tr w14:paraId="6561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704" w:type="dxa"/>
            <w:vAlign w:val="center"/>
          </w:tcPr>
          <w:p w14:paraId="5FF2843C">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701" w:type="dxa"/>
            <w:vAlign w:val="center"/>
          </w:tcPr>
          <w:p w14:paraId="068CB1B9">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机电类</w:t>
            </w:r>
          </w:p>
          <w:p w14:paraId="7B1E1A86">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w:t>
            </w:r>
          </w:p>
        </w:tc>
        <w:tc>
          <w:tcPr>
            <w:tcW w:w="10773" w:type="dxa"/>
            <w:vAlign w:val="center"/>
          </w:tcPr>
          <w:p w14:paraId="158D1637">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包括机械设计与制造、过程装备与控制、化工机械、材料物理、电气工程、激光工程和人工智能等专业方向中涉及高温、高压、高速、高大等机械设备及其他强电、强磁、激光或低温设备的实验室，以及大型机房等。这类实验室的主要危险包括夹击、碰撞、剪切、卷入、绞、碾、割、刺等形式的机械伤害以及灼伤、电路短路、人员触电、激光伤害、冻伤等因素</w:t>
            </w:r>
            <w:r>
              <w:rPr>
                <w:rFonts w:hint="eastAsia" w:ascii="仿宋_GB2312" w:hAnsi="仿宋_GB2312" w:eastAsia="仿宋_GB2312" w:cs="仿宋_GB2312"/>
                <w:sz w:val="32"/>
                <w:szCs w:val="32"/>
                <w:lang w:eastAsia="zh-CN"/>
              </w:rPr>
              <w:t>。</w:t>
            </w:r>
          </w:p>
        </w:tc>
      </w:tr>
      <w:tr w14:paraId="016C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04" w:type="dxa"/>
            <w:vAlign w:val="center"/>
          </w:tcPr>
          <w:p w14:paraId="7DD9ABED">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701" w:type="dxa"/>
            <w:vAlign w:val="center"/>
          </w:tcPr>
          <w:p w14:paraId="6C458D42">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其他类</w:t>
            </w:r>
          </w:p>
          <w:p w14:paraId="1C46F910">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w:t>
            </w:r>
          </w:p>
        </w:tc>
        <w:tc>
          <w:tcPr>
            <w:tcW w:w="10773" w:type="dxa"/>
            <w:vAlign w:val="center"/>
          </w:tcPr>
          <w:p w14:paraId="76861910">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包括社科类、艺术类专业相关的实验室或实训室，危险源主要是少量的用电设备可能带来的用电安全或消防安全风险</w:t>
            </w:r>
            <w:r>
              <w:rPr>
                <w:rFonts w:hint="eastAsia" w:ascii="仿宋_GB2312" w:hAnsi="仿宋_GB2312" w:eastAsia="仿宋_GB2312" w:cs="仿宋_GB2312"/>
                <w:sz w:val="32"/>
                <w:szCs w:val="32"/>
                <w:lang w:eastAsia="zh-CN"/>
              </w:rPr>
              <w:t>。</w:t>
            </w:r>
          </w:p>
        </w:tc>
      </w:tr>
    </w:tbl>
    <w:p w14:paraId="26089736">
      <w:pPr>
        <w:overflowPunct w:val="0"/>
        <w:autoSpaceDE w:val="0"/>
        <w:autoSpaceDN w:val="0"/>
        <w:ind w:right="280" w:firstLine="320" w:firstLineChars="100"/>
        <w:rPr>
          <w:rFonts w:hint="eastAsia" w:ascii="仿宋" w:hAnsi="仿宋" w:eastAsia="仿宋" w:cs="仿宋"/>
          <w:sz w:val="32"/>
          <w:szCs w:val="32"/>
          <w:lang w:val="en-US" w:eastAsia="zh-CN"/>
        </w:rPr>
      </w:pPr>
    </w:p>
    <w:p w14:paraId="4E9437A6">
      <w:pPr>
        <w:pStyle w:val="2"/>
        <w:rPr>
          <w:rFonts w:hint="eastAsia" w:ascii="仿宋" w:hAnsi="仿宋" w:eastAsia="仿宋" w:cs="仿宋"/>
          <w:sz w:val="32"/>
          <w:szCs w:val="32"/>
          <w:lang w:val="en-US" w:eastAsia="zh-CN"/>
        </w:rPr>
      </w:pPr>
    </w:p>
    <w:p w14:paraId="65BDF735">
      <w:pPr>
        <w:pStyle w:val="2"/>
        <w:rPr>
          <w:rFonts w:hint="eastAsia" w:ascii="仿宋" w:hAnsi="仿宋" w:eastAsia="仿宋" w:cs="仿宋"/>
          <w:sz w:val="32"/>
          <w:szCs w:val="32"/>
          <w:lang w:val="en-US" w:eastAsia="zh-CN"/>
        </w:rPr>
      </w:pPr>
    </w:p>
    <w:p w14:paraId="27D47C8A">
      <w:pPr>
        <w:pStyle w:val="2"/>
        <w:rPr>
          <w:rFonts w:hint="eastAsia" w:ascii="仿宋" w:hAnsi="仿宋" w:eastAsia="仿宋" w:cs="仿宋"/>
          <w:sz w:val="32"/>
          <w:szCs w:val="32"/>
          <w:lang w:val="en-US" w:eastAsia="zh-CN"/>
        </w:rPr>
      </w:pPr>
    </w:p>
    <w:p w14:paraId="33AEAD35">
      <w:pPr>
        <w:pStyle w:val="2"/>
        <w:rPr>
          <w:rFonts w:hint="eastAsia" w:ascii="仿宋" w:hAnsi="仿宋" w:eastAsia="仿宋" w:cs="仿宋"/>
          <w:sz w:val="32"/>
          <w:szCs w:val="32"/>
          <w:lang w:val="en-US" w:eastAsia="zh-CN"/>
        </w:rPr>
      </w:pPr>
    </w:p>
    <w:p w14:paraId="74AF9B75">
      <w:pPr>
        <w:pStyle w:val="2"/>
        <w:rPr>
          <w:rFonts w:hint="eastAsia" w:ascii="仿宋" w:hAnsi="仿宋" w:eastAsia="仿宋" w:cs="仿宋"/>
          <w:sz w:val="32"/>
          <w:szCs w:val="32"/>
          <w:lang w:val="en-US" w:eastAsia="zh-CN"/>
        </w:rPr>
      </w:pPr>
    </w:p>
    <w:p w14:paraId="7C537BC7">
      <w:pPr>
        <w:pStyle w:val="2"/>
        <w:rPr>
          <w:rFonts w:hint="eastAsia" w:ascii="仿宋" w:hAnsi="仿宋" w:eastAsia="仿宋" w:cs="仿宋"/>
          <w:sz w:val="32"/>
          <w:szCs w:val="32"/>
          <w:lang w:val="en-US" w:eastAsia="zh-CN"/>
        </w:rPr>
      </w:pPr>
    </w:p>
    <w:p w14:paraId="3193192C">
      <w:pPr>
        <w:pStyle w:val="2"/>
        <w:rPr>
          <w:rFonts w:hint="eastAsia" w:ascii="仿宋" w:hAnsi="仿宋" w:eastAsia="仿宋" w:cs="仿宋"/>
          <w:sz w:val="32"/>
          <w:szCs w:val="32"/>
          <w:lang w:val="en-US" w:eastAsia="zh-CN"/>
        </w:rPr>
      </w:pPr>
    </w:p>
    <w:p w14:paraId="1BE0C4C4">
      <w:pPr>
        <w:pBdr>
          <w:top w:val="single" w:color="auto" w:sz="12" w:space="1"/>
          <w:bottom w:val="single" w:color="auto" w:sz="12" w:space="4"/>
        </w:pBdr>
        <w:spacing w:line="500" w:lineRule="exact"/>
        <w:ind w:firstLine="280" w:firstLineChars="1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泉州师范学院</w:t>
      </w:r>
      <w:r>
        <w:rPr>
          <w:rFonts w:hint="eastAsia" w:ascii="仿宋_GB2312" w:hAnsi="仿宋_GB2312" w:eastAsia="仿宋_GB2312" w:cs="仿宋_GB2312"/>
          <w:sz w:val="28"/>
          <w:szCs w:val="28"/>
          <w:lang w:eastAsia="zh-CN"/>
        </w:rPr>
        <w:t>党政</w:t>
      </w:r>
      <w:r>
        <w:rPr>
          <w:rFonts w:hint="eastAsia" w:ascii="仿宋_GB2312" w:hAnsi="仿宋_GB2312" w:eastAsia="仿宋_GB2312" w:cs="仿宋_GB2312"/>
          <w:sz w:val="28"/>
          <w:szCs w:val="28"/>
        </w:rPr>
        <w:t xml:space="preserve">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rPr>
        <w:t>日印发</w:t>
      </w:r>
      <w:r>
        <w:rPr>
          <w:rFonts w:hint="eastAsia" w:ascii="仿宋_GB2312" w:hAnsi="仿宋_GB2312" w:eastAsia="仿宋_GB2312" w:cs="仿宋_GB2312"/>
          <w:sz w:val="28"/>
          <w:szCs w:val="28"/>
          <w:lang w:val="en-US" w:eastAsia="zh-CN"/>
        </w:rPr>
        <w:t xml:space="preserve"> </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9FF9E6-79D5-4415-9011-DD06F9E6DC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55687F3-9A67-4061-B23D-01CDC1ADEFCA}"/>
  </w:font>
  <w:font w:name="仿宋">
    <w:panose1 w:val="02010609060101010101"/>
    <w:charset w:val="86"/>
    <w:family w:val="modern"/>
    <w:pitch w:val="default"/>
    <w:sig w:usb0="800002BF" w:usb1="38CF7CFA" w:usb2="00000016" w:usb3="00000000" w:csb0="00040001" w:csb1="00000000"/>
    <w:embedRegular r:id="rId3" w:fontKey="{41F6090F-F6EB-4F60-98E1-49C6A463425F}"/>
  </w:font>
  <w:font w:name="方正小标宋简体">
    <w:panose1 w:val="03000509000000000000"/>
    <w:charset w:val="86"/>
    <w:family w:val="script"/>
    <w:pitch w:val="default"/>
    <w:sig w:usb0="00000001" w:usb1="080E0000" w:usb2="00000000" w:usb3="00000000" w:csb0="00040000" w:csb1="00000000"/>
    <w:embedRegular r:id="rId4" w:fontKey="{32C91426-B1C6-411C-8EBE-67CDDCBABCA1}"/>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8F5C9">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8F513">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13</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488F513">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13</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17004">
    <w:pPr>
      <w:pStyle w:val="8"/>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C17AB3"/>
    <w:multiLevelType w:val="singleLevel"/>
    <w:tmpl w:val="E8C17AB3"/>
    <w:lvl w:ilvl="0" w:tentative="0">
      <w:start w:val="1"/>
      <w:numFmt w:val="decimal"/>
      <w:suff w:val="nothing"/>
      <w:lvlText w:val="（%1）"/>
      <w:lvlJc w:val="left"/>
    </w:lvl>
  </w:abstractNum>
  <w:abstractNum w:abstractNumId="1">
    <w:nsid w:val="2E3B44F4"/>
    <w:multiLevelType w:val="singleLevel"/>
    <w:tmpl w:val="2E3B44F4"/>
    <w:lvl w:ilvl="0" w:tentative="0">
      <w:start w:val="1"/>
      <w:numFmt w:val="chineseCounting"/>
      <w:suff w:val="space"/>
      <w:lvlText w:val="第%1章"/>
      <w:lvlJc w:val="left"/>
      <w:rPr>
        <w:rFonts w:hint="eastAsia"/>
      </w:rPr>
    </w:lvl>
  </w:abstractNum>
  <w:abstractNum w:abstractNumId="2">
    <w:nsid w:val="65195C0D"/>
    <w:multiLevelType w:val="singleLevel"/>
    <w:tmpl w:val="65195C0D"/>
    <w:lvl w:ilvl="0" w:tentative="0">
      <w:start w:val="5"/>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Mjk1NDQ2ZmQwODliNDc1YzhiOWI2NGU0MzlkY2UifQ=="/>
  </w:docVars>
  <w:rsids>
    <w:rsidRoot w:val="006D4707"/>
    <w:rsid w:val="0001763F"/>
    <w:rsid w:val="00027F32"/>
    <w:rsid w:val="0003623B"/>
    <w:rsid w:val="00037848"/>
    <w:rsid w:val="00062ECC"/>
    <w:rsid w:val="0008629D"/>
    <w:rsid w:val="000A7400"/>
    <w:rsid w:val="000C7A2A"/>
    <w:rsid w:val="000D49BD"/>
    <w:rsid w:val="001038BD"/>
    <w:rsid w:val="001202A6"/>
    <w:rsid w:val="00124D32"/>
    <w:rsid w:val="00131B3C"/>
    <w:rsid w:val="001703AE"/>
    <w:rsid w:val="00176685"/>
    <w:rsid w:val="00191BE3"/>
    <w:rsid w:val="00193C38"/>
    <w:rsid w:val="00193D23"/>
    <w:rsid w:val="001C084A"/>
    <w:rsid w:val="00212094"/>
    <w:rsid w:val="00213FDB"/>
    <w:rsid w:val="00252E74"/>
    <w:rsid w:val="00284C21"/>
    <w:rsid w:val="0029363B"/>
    <w:rsid w:val="002B2A0C"/>
    <w:rsid w:val="00310946"/>
    <w:rsid w:val="00330AC4"/>
    <w:rsid w:val="00335E9B"/>
    <w:rsid w:val="003C542A"/>
    <w:rsid w:val="00450402"/>
    <w:rsid w:val="00466A6C"/>
    <w:rsid w:val="00481F97"/>
    <w:rsid w:val="004D4B32"/>
    <w:rsid w:val="00515404"/>
    <w:rsid w:val="00544B4F"/>
    <w:rsid w:val="005B1576"/>
    <w:rsid w:val="005F50C5"/>
    <w:rsid w:val="0062123A"/>
    <w:rsid w:val="00647FE3"/>
    <w:rsid w:val="0069243C"/>
    <w:rsid w:val="006B6E4F"/>
    <w:rsid w:val="006D4707"/>
    <w:rsid w:val="00701DD9"/>
    <w:rsid w:val="00722A65"/>
    <w:rsid w:val="00734F83"/>
    <w:rsid w:val="00765F85"/>
    <w:rsid w:val="00772989"/>
    <w:rsid w:val="0079701B"/>
    <w:rsid w:val="007A2695"/>
    <w:rsid w:val="008079F2"/>
    <w:rsid w:val="00822759"/>
    <w:rsid w:val="00823817"/>
    <w:rsid w:val="0089599B"/>
    <w:rsid w:val="008B07A6"/>
    <w:rsid w:val="009057DA"/>
    <w:rsid w:val="009059A0"/>
    <w:rsid w:val="00917A4B"/>
    <w:rsid w:val="00971193"/>
    <w:rsid w:val="009778C7"/>
    <w:rsid w:val="00990DD6"/>
    <w:rsid w:val="0099587C"/>
    <w:rsid w:val="009A3F19"/>
    <w:rsid w:val="009E247D"/>
    <w:rsid w:val="009E48AB"/>
    <w:rsid w:val="00A13882"/>
    <w:rsid w:val="00A322CE"/>
    <w:rsid w:val="00A3341D"/>
    <w:rsid w:val="00B33636"/>
    <w:rsid w:val="00B4331E"/>
    <w:rsid w:val="00B85B73"/>
    <w:rsid w:val="00BB07C7"/>
    <w:rsid w:val="00BD7DB7"/>
    <w:rsid w:val="00C042EA"/>
    <w:rsid w:val="00C50A53"/>
    <w:rsid w:val="00C9058A"/>
    <w:rsid w:val="00C9328E"/>
    <w:rsid w:val="00C94051"/>
    <w:rsid w:val="00CA3100"/>
    <w:rsid w:val="00D272F8"/>
    <w:rsid w:val="00D37C54"/>
    <w:rsid w:val="00D65E63"/>
    <w:rsid w:val="00D83C25"/>
    <w:rsid w:val="00E07109"/>
    <w:rsid w:val="00E3095C"/>
    <w:rsid w:val="00E31EE7"/>
    <w:rsid w:val="00E63FC1"/>
    <w:rsid w:val="00E74A0C"/>
    <w:rsid w:val="00EA074D"/>
    <w:rsid w:val="00EA1E28"/>
    <w:rsid w:val="00EC29CD"/>
    <w:rsid w:val="00EF2BC3"/>
    <w:rsid w:val="00F274DB"/>
    <w:rsid w:val="00F35C35"/>
    <w:rsid w:val="00F60F9B"/>
    <w:rsid w:val="00F6129E"/>
    <w:rsid w:val="00F819C2"/>
    <w:rsid w:val="00FA185F"/>
    <w:rsid w:val="00FA6B45"/>
    <w:rsid w:val="01180A5C"/>
    <w:rsid w:val="01B25864"/>
    <w:rsid w:val="01F47039"/>
    <w:rsid w:val="02E17AB0"/>
    <w:rsid w:val="04CB5FDF"/>
    <w:rsid w:val="0512295E"/>
    <w:rsid w:val="054E6F12"/>
    <w:rsid w:val="06324A31"/>
    <w:rsid w:val="071B031B"/>
    <w:rsid w:val="0796457E"/>
    <w:rsid w:val="07A63C35"/>
    <w:rsid w:val="07AA7CB5"/>
    <w:rsid w:val="07E649C7"/>
    <w:rsid w:val="07F776C6"/>
    <w:rsid w:val="08642BFC"/>
    <w:rsid w:val="08E04797"/>
    <w:rsid w:val="093331C1"/>
    <w:rsid w:val="095668F1"/>
    <w:rsid w:val="09C17B77"/>
    <w:rsid w:val="0B262FE4"/>
    <w:rsid w:val="0B995447"/>
    <w:rsid w:val="0CAF7751"/>
    <w:rsid w:val="0DF16BA4"/>
    <w:rsid w:val="0F4F3417"/>
    <w:rsid w:val="108D4565"/>
    <w:rsid w:val="11AD4F03"/>
    <w:rsid w:val="11EF2E02"/>
    <w:rsid w:val="12667A99"/>
    <w:rsid w:val="130D7A03"/>
    <w:rsid w:val="138921C2"/>
    <w:rsid w:val="13AB6DD5"/>
    <w:rsid w:val="13BC03EE"/>
    <w:rsid w:val="13BD2A0B"/>
    <w:rsid w:val="14132964"/>
    <w:rsid w:val="14A53005"/>
    <w:rsid w:val="14C65AD7"/>
    <w:rsid w:val="15B53EE4"/>
    <w:rsid w:val="15CB7070"/>
    <w:rsid w:val="173460B3"/>
    <w:rsid w:val="177129F3"/>
    <w:rsid w:val="177C1ED8"/>
    <w:rsid w:val="181C2CF4"/>
    <w:rsid w:val="1A047000"/>
    <w:rsid w:val="1A7267F4"/>
    <w:rsid w:val="1AE730FE"/>
    <w:rsid w:val="1B661514"/>
    <w:rsid w:val="1C1C52E8"/>
    <w:rsid w:val="1C656DB4"/>
    <w:rsid w:val="1CFC542E"/>
    <w:rsid w:val="1ED213F1"/>
    <w:rsid w:val="2043424A"/>
    <w:rsid w:val="219C073F"/>
    <w:rsid w:val="222A555F"/>
    <w:rsid w:val="222B5197"/>
    <w:rsid w:val="2293628D"/>
    <w:rsid w:val="23A31B2C"/>
    <w:rsid w:val="24714E66"/>
    <w:rsid w:val="257E7C48"/>
    <w:rsid w:val="25F7133D"/>
    <w:rsid w:val="269B1F3A"/>
    <w:rsid w:val="276E338F"/>
    <w:rsid w:val="2825407C"/>
    <w:rsid w:val="286F68EE"/>
    <w:rsid w:val="29760F09"/>
    <w:rsid w:val="29A579CA"/>
    <w:rsid w:val="29BC0B25"/>
    <w:rsid w:val="29C36149"/>
    <w:rsid w:val="2A476F01"/>
    <w:rsid w:val="2A5D68FB"/>
    <w:rsid w:val="2AE23385"/>
    <w:rsid w:val="2C5C5B0A"/>
    <w:rsid w:val="2C811EB8"/>
    <w:rsid w:val="2D047420"/>
    <w:rsid w:val="2D8301B4"/>
    <w:rsid w:val="2E3015F0"/>
    <w:rsid w:val="2E3447F2"/>
    <w:rsid w:val="2E3F5B1B"/>
    <w:rsid w:val="2E8C14E5"/>
    <w:rsid w:val="2EF83EDC"/>
    <w:rsid w:val="2F7E0852"/>
    <w:rsid w:val="301B3E17"/>
    <w:rsid w:val="307B04A4"/>
    <w:rsid w:val="3089482B"/>
    <w:rsid w:val="30D6133F"/>
    <w:rsid w:val="31442DBA"/>
    <w:rsid w:val="32BE1420"/>
    <w:rsid w:val="32CE536C"/>
    <w:rsid w:val="32F72511"/>
    <w:rsid w:val="33086214"/>
    <w:rsid w:val="34376998"/>
    <w:rsid w:val="36046CE5"/>
    <w:rsid w:val="361B6A4E"/>
    <w:rsid w:val="36A135AA"/>
    <w:rsid w:val="36C71FE1"/>
    <w:rsid w:val="37F27C34"/>
    <w:rsid w:val="38FB596D"/>
    <w:rsid w:val="3BCF2FFD"/>
    <w:rsid w:val="3BE00D16"/>
    <w:rsid w:val="3BED558A"/>
    <w:rsid w:val="3C04503A"/>
    <w:rsid w:val="3C322ABC"/>
    <w:rsid w:val="3CC92B88"/>
    <w:rsid w:val="3E054193"/>
    <w:rsid w:val="3E3F6B1A"/>
    <w:rsid w:val="3E563143"/>
    <w:rsid w:val="3EBD5031"/>
    <w:rsid w:val="3F2A0CE5"/>
    <w:rsid w:val="3FEA3E9F"/>
    <w:rsid w:val="41360D0A"/>
    <w:rsid w:val="41EA56F1"/>
    <w:rsid w:val="420F3A3B"/>
    <w:rsid w:val="432050D4"/>
    <w:rsid w:val="43A055AB"/>
    <w:rsid w:val="44682F75"/>
    <w:rsid w:val="450A5A20"/>
    <w:rsid w:val="4559660A"/>
    <w:rsid w:val="456572E6"/>
    <w:rsid w:val="462B0BAC"/>
    <w:rsid w:val="462C4C8C"/>
    <w:rsid w:val="46724EDF"/>
    <w:rsid w:val="46E473CC"/>
    <w:rsid w:val="47434F40"/>
    <w:rsid w:val="48B03C9A"/>
    <w:rsid w:val="496C33DF"/>
    <w:rsid w:val="4B44091D"/>
    <w:rsid w:val="4B76718C"/>
    <w:rsid w:val="4C954009"/>
    <w:rsid w:val="4CCD358E"/>
    <w:rsid w:val="4CD05815"/>
    <w:rsid w:val="4CF20B4C"/>
    <w:rsid w:val="4EB31CDC"/>
    <w:rsid w:val="5099604B"/>
    <w:rsid w:val="50B56B64"/>
    <w:rsid w:val="50ED01D5"/>
    <w:rsid w:val="5132180E"/>
    <w:rsid w:val="513410DE"/>
    <w:rsid w:val="51837765"/>
    <w:rsid w:val="51F95917"/>
    <w:rsid w:val="5382751C"/>
    <w:rsid w:val="53EC379D"/>
    <w:rsid w:val="5464664D"/>
    <w:rsid w:val="54D270F6"/>
    <w:rsid w:val="555804AD"/>
    <w:rsid w:val="55B134D1"/>
    <w:rsid w:val="55F530A7"/>
    <w:rsid w:val="56BA4475"/>
    <w:rsid w:val="57A76DBE"/>
    <w:rsid w:val="588764CF"/>
    <w:rsid w:val="594E5DE6"/>
    <w:rsid w:val="59E1591E"/>
    <w:rsid w:val="5A587931"/>
    <w:rsid w:val="5A7C2835"/>
    <w:rsid w:val="5AD17BF4"/>
    <w:rsid w:val="5B2975B6"/>
    <w:rsid w:val="5D0A6D97"/>
    <w:rsid w:val="5D395313"/>
    <w:rsid w:val="5DFB2E2D"/>
    <w:rsid w:val="5EE2487D"/>
    <w:rsid w:val="5F3D5114"/>
    <w:rsid w:val="5FF10053"/>
    <w:rsid w:val="61F32230"/>
    <w:rsid w:val="63747D84"/>
    <w:rsid w:val="63A66CE3"/>
    <w:rsid w:val="641474A0"/>
    <w:rsid w:val="643E464D"/>
    <w:rsid w:val="645B1263"/>
    <w:rsid w:val="647771AE"/>
    <w:rsid w:val="65B25666"/>
    <w:rsid w:val="66385942"/>
    <w:rsid w:val="664E2F27"/>
    <w:rsid w:val="66585787"/>
    <w:rsid w:val="66816EA9"/>
    <w:rsid w:val="66AF7267"/>
    <w:rsid w:val="66D679AD"/>
    <w:rsid w:val="66E266B6"/>
    <w:rsid w:val="67F15427"/>
    <w:rsid w:val="684706E8"/>
    <w:rsid w:val="68614A6F"/>
    <w:rsid w:val="6893143F"/>
    <w:rsid w:val="68A53934"/>
    <w:rsid w:val="69DD79C7"/>
    <w:rsid w:val="6A86506E"/>
    <w:rsid w:val="6AC669EA"/>
    <w:rsid w:val="6B88243A"/>
    <w:rsid w:val="6BAD0C0C"/>
    <w:rsid w:val="6BB30D04"/>
    <w:rsid w:val="6BCD2FF5"/>
    <w:rsid w:val="6CDD3446"/>
    <w:rsid w:val="6E4551D7"/>
    <w:rsid w:val="6FCD7F9B"/>
    <w:rsid w:val="6FF3688E"/>
    <w:rsid w:val="70432C8F"/>
    <w:rsid w:val="70F5514F"/>
    <w:rsid w:val="7120647C"/>
    <w:rsid w:val="725712A6"/>
    <w:rsid w:val="727345D1"/>
    <w:rsid w:val="72EB66DE"/>
    <w:rsid w:val="73080081"/>
    <w:rsid w:val="73517B98"/>
    <w:rsid w:val="73AD5C0B"/>
    <w:rsid w:val="74C14DFB"/>
    <w:rsid w:val="74FE444F"/>
    <w:rsid w:val="7583692D"/>
    <w:rsid w:val="76801864"/>
    <w:rsid w:val="769A59D6"/>
    <w:rsid w:val="776F05E3"/>
    <w:rsid w:val="77DA465A"/>
    <w:rsid w:val="77E544A6"/>
    <w:rsid w:val="78C138EE"/>
    <w:rsid w:val="790668C1"/>
    <w:rsid w:val="79CF22B4"/>
    <w:rsid w:val="7A125641"/>
    <w:rsid w:val="7B956906"/>
    <w:rsid w:val="7C7C05C5"/>
    <w:rsid w:val="7E3A0925"/>
    <w:rsid w:val="7E583173"/>
    <w:rsid w:val="7E8B1ECF"/>
    <w:rsid w:val="7F51311C"/>
    <w:rsid w:val="7F557D5B"/>
    <w:rsid w:val="7F8628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ascii="宋体" w:hAnsi="宋体"/>
      <w:b/>
      <w:bCs/>
      <w:kern w:val="44"/>
      <w:sz w:val="48"/>
      <w:szCs w:val="48"/>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6">
    <w:name w:val="index 6"/>
    <w:next w:val="1"/>
    <w:qFormat/>
    <w:uiPriority w:val="0"/>
    <w:pPr>
      <w:widowControl w:val="0"/>
      <w:ind w:left="2100"/>
      <w:jc w:val="both"/>
    </w:pPr>
    <w:rPr>
      <w:rFonts w:ascii="Calibri" w:hAnsi="Calibri" w:eastAsia="宋体" w:cs="Times New Roman"/>
      <w:kern w:val="2"/>
      <w:sz w:val="21"/>
      <w:szCs w:val="22"/>
      <w:lang w:val="en-US" w:eastAsia="zh-CN" w:bidi="ar-SA"/>
    </w:rPr>
  </w:style>
  <w:style w:type="paragraph" w:styleId="7">
    <w:name w:val="Body Text Indent"/>
    <w:basedOn w:val="1"/>
    <w:next w:val="8"/>
    <w:qFormat/>
    <w:uiPriority w:val="0"/>
    <w:pPr>
      <w:spacing w:after="120"/>
      <w:ind w:left="200" w:leftChars="200"/>
    </w:pPr>
    <w:rPr>
      <w:rFonts w:ascii="Times New Roman" w:hAnsi="Times New Roman"/>
      <w:szCs w:val="24"/>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7"/>
    <w:next w:val="6"/>
    <w:qFormat/>
    <w:uiPriority w:val="0"/>
    <w:pPr>
      <w:ind w:firstLine="40"/>
    </w:pPr>
    <w:rPr>
      <w:rFonts w:hAnsi="仿宋_GB2312" w:eastAsia="仿宋" w:cs="仿宋_GB2312"/>
      <w:szCs w:val="32"/>
    </w:rPr>
  </w:style>
  <w:style w:type="table" w:styleId="14">
    <w:name w:val="Table Grid"/>
    <w:basedOn w:val="13"/>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color w:val="454545"/>
    </w:rPr>
  </w:style>
  <w:style w:type="character" w:styleId="17">
    <w:name w:val="page number"/>
    <w:basedOn w:val="15"/>
    <w:qFormat/>
    <w:uiPriority w:val="0"/>
  </w:style>
  <w:style w:type="character" w:styleId="18">
    <w:name w:val="Hyperlink"/>
    <w:basedOn w:val="15"/>
    <w:qFormat/>
    <w:uiPriority w:val="0"/>
    <w:rPr>
      <w:color w:val="0000FF"/>
      <w:u w:val="single"/>
    </w:rPr>
  </w:style>
  <w:style w:type="paragraph" w:customStyle="1" w:styleId="19">
    <w:name w:val="发文字号"/>
    <w:basedOn w:val="1"/>
    <w:qFormat/>
    <w:uiPriority w:val="0"/>
    <w:pPr>
      <w:jc w:val="center"/>
    </w:pPr>
    <w:rPr>
      <w:rFonts w:ascii="仿宋" w:hAnsi="仿宋" w:eastAsia="仿宋"/>
      <w:sz w:val="30"/>
      <w:szCs w:val="30"/>
    </w:rPr>
  </w:style>
  <w:style w:type="paragraph" w:customStyle="1" w:styleId="20">
    <w:name w:val="红头发文机关标识"/>
    <w:basedOn w:val="1"/>
    <w:qFormat/>
    <w:uiPriority w:val="0"/>
    <w:pPr>
      <w:spacing w:before="1418"/>
      <w:jc w:val="center"/>
    </w:pPr>
    <w:rPr>
      <w:rFonts w:ascii="宋体" w:hAnsi="宋体"/>
      <w:b/>
      <w:color w:val="FF0000"/>
      <w:spacing w:val="80"/>
      <w:w w:val="88"/>
      <w:sz w:val="96"/>
      <w:szCs w:val="44"/>
    </w:rPr>
  </w:style>
  <w:style w:type="character" w:customStyle="1" w:styleId="21">
    <w:name w:val="NormalCharacter"/>
    <w:qFormat/>
    <w:uiPriority w:val="0"/>
    <w:rPr>
      <w:kern w:val="2"/>
      <w:sz w:val="21"/>
      <w:szCs w:val="24"/>
      <w:lang w:val="en-US" w:eastAsia="zh-CN" w:bidi="ar-SA"/>
    </w:rPr>
  </w:style>
  <w:style w:type="paragraph" w:customStyle="1" w:styleId="22">
    <w:name w:val="_Style 15"/>
    <w:basedOn w:val="1"/>
    <w:next w:val="1"/>
    <w:qFormat/>
    <w:uiPriority w:val="0"/>
    <w:pPr>
      <w:pBdr>
        <w:bottom w:val="single" w:color="auto" w:sz="6" w:space="1"/>
      </w:pBdr>
      <w:jc w:val="center"/>
    </w:pPr>
    <w:rPr>
      <w:rFonts w:ascii="Arial" w:eastAsia="宋体"/>
      <w:vanish/>
      <w:sz w:val="16"/>
    </w:rPr>
  </w:style>
  <w:style w:type="paragraph" w:customStyle="1" w:styleId="23">
    <w:name w:val="_Style 14"/>
    <w:basedOn w:val="1"/>
    <w:next w:val="1"/>
    <w:qFormat/>
    <w:uiPriority w:val="0"/>
    <w:pPr>
      <w:pBdr>
        <w:top w:val="single" w:color="auto" w:sz="6" w:space="1"/>
      </w:pBdr>
      <w:jc w:val="center"/>
    </w:pPr>
    <w:rPr>
      <w:rFonts w:ascii="Arial" w:eastAsia="宋体"/>
      <w:vanish/>
      <w:sz w:val="16"/>
    </w:rPr>
  </w:style>
  <w:style w:type="paragraph" w:styleId="24">
    <w:name w:val="List Paragraph"/>
    <w:basedOn w:val="1"/>
    <w:autoRedefine/>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13</Pages>
  <Words>657</Words>
  <Characters>665</Characters>
  <Lines>4</Lines>
  <Paragraphs>1</Paragraphs>
  <TotalTime>25</TotalTime>
  <ScaleCrop>false</ScaleCrop>
  <LinksUpToDate>false</LinksUpToDate>
  <CharactersWithSpaces>736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2018-11-21T09:17:00Z</dcterms:created>
  <dc:creator>Windows 用户</dc:creator>
  <cp:lastModifiedBy>杨琳珩</cp:lastModifiedBy>
  <cp:lastPrinted>2024-09-02T08:37:00Z</cp:lastPrinted>
  <dcterms:modified xsi:type="dcterms:W3CDTF">2024-11-12T09:04:44Z</dcterms:modified>
  <dc:title>关于评选2015年泉州师范学院优秀教师、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B1171CE04A964354B810E1FC37B64B5E_13</vt:lpwstr>
  </property>
</Properties>
</file>